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adjustRightInd w:val="0"/>
        <w:snapToGrid w:val="0"/>
        <w:spacing w:before="0" w:after="0" w:line="360" w:lineRule="auto"/>
        <w:jc w:val="center"/>
        <w:rPr>
          <w:rFonts w:ascii="宋体" w:hAnsi="宋体" w:eastAsia="宋体" w:cs="宋体"/>
          <w:b w:val="0"/>
          <w:highlight w:val="none"/>
        </w:rPr>
      </w:pPr>
      <w:r>
        <w:rPr>
          <w:rFonts w:hint="eastAsia" w:ascii="宋体" w:hAnsi="宋体" w:eastAsia="宋体" w:cs="宋体"/>
          <w:b w:val="0"/>
          <w:highlight w:val="none"/>
        </w:rPr>
        <w:t>中小企业声明函（如适用）</w:t>
      </w:r>
    </w:p>
    <w:p>
      <w:pPr>
        <w:spacing w:line="360" w:lineRule="auto"/>
        <w:jc w:val="center"/>
        <w:rPr>
          <w:rFonts w:ascii="宋体" w:hAnsi="宋体" w:cs="宋体"/>
          <w:b/>
          <w:szCs w:val="21"/>
          <w:highlight w:val="none"/>
        </w:rPr>
      </w:pPr>
      <w:r>
        <w:rPr>
          <w:rFonts w:hint="eastAsia" w:ascii="宋体" w:hAnsi="宋体" w:cs="宋体"/>
          <w:b/>
          <w:szCs w:val="21"/>
          <w:highlight w:val="none"/>
        </w:rPr>
        <w:t>（投标人认为其为中小企业的应提交本函，并明确企业类型，否则评审时不能</w:t>
      </w:r>
      <w:r>
        <w:rPr>
          <w:rFonts w:hint="eastAsia" w:ascii="宋体" w:hAnsi="宋体" w:cs="宋体"/>
          <w:b/>
          <w:highlight w:val="none"/>
        </w:rPr>
        <w:t>享受</w:t>
      </w:r>
      <w:r>
        <w:rPr>
          <w:rFonts w:hint="eastAsia" w:ascii="宋体" w:hAnsi="宋体" w:cs="宋体"/>
          <w:b/>
          <w:szCs w:val="21"/>
          <w:highlight w:val="none"/>
        </w:rPr>
        <w:t>相应的价格扣除）</w:t>
      </w:r>
    </w:p>
    <w:p>
      <w:pPr>
        <w:spacing w:line="360" w:lineRule="auto"/>
        <w:ind w:firstLine="420" w:firstLineChars="200"/>
        <w:rPr>
          <w:rFonts w:hint="eastAsia" w:ascii="宋体" w:hAnsi="宋体"/>
          <w:szCs w:val="21"/>
          <w:highlight w:val="none"/>
        </w:rPr>
      </w:pPr>
      <w:r>
        <w:rPr>
          <w:rFonts w:hint="eastAsia" w:ascii="宋体" w:hAnsi="宋体"/>
          <w:szCs w:val="21"/>
          <w:highlight w:val="none"/>
        </w:rPr>
        <w:t xml:space="preserve">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的具体情况如下： </w:t>
      </w:r>
    </w:p>
    <w:p>
      <w:pPr>
        <w:spacing w:line="360" w:lineRule="auto"/>
        <w:ind w:firstLine="420" w:firstLineChars="200"/>
        <w:rPr>
          <w:rFonts w:hint="eastAsia" w:ascii="宋体" w:hAnsi="宋体"/>
          <w:szCs w:val="21"/>
          <w:highlight w:val="none"/>
        </w:rPr>
      </w:pPr>
      <w:r>
        <w:rPr>
          <w:rFonts w:hint="eastAsia" w:ascii="宋体" w:hAnsi="宋体"/>
          <w:szCs w:val="21"/>
          <w:highlight w:val="none"/>
        </w:rPr>
        <w:t>1.</w:t>
      </w:r>
      <w:r>
        <w:rPr>
          <w:rFonts w:hint="eastAsia" w:ascii="宋体" w:hAnsi="宋体"/>
          <w:szCs w:val="21"/>
          <w:highlight w:val="none"/>
          <w:u w:val="single"/>
        </w:rPr>
        <w:t xml:space="preserve"> （标的名称） </w:t>
      </w:r>
      <w:r>
        <w:rPr>
          <w:rFonts w:hint="eastAsia" w:ascii="宋体" w:hAnsi="宋体"/>
          <w:szCs w:val="21"/>
          <w:highlight w:val="none"/>
        </w:rPr>
        <w:t>，属于</w:t>
      </w:r>
      <w:r>
        <w:rPr>
          <w:rFonts w:hint="eastAsia" w:ascii="宋体" w:hAnsi="宋体"/>
          <w:szCs w:val="21"/>
          <w:highlight w:val="none"/>
          <w:u w:val="single"/>
          <w:lang w:eastAsia="zh-CN"/>
        </w:rPr>
        <w:t>工业</w:t>
      </w:r>
      <w:r>
        <w:rPr>
          <w:rFonts w:hint="eastAsia" w:ascii="宋体" w:hAnsi="宋体"/>
          <w:szCs w:val="21"/>
          <w:highlight w:val="none"/>
        </w:rPr>
        <w:t>行业；制造商为</w:t>
      </w:r>
      <w:r>
        <w:rPr>
          <w:rFonts w:hint="eastAsia" w:ascii="宋体" w:hAnsi="宋体"/>
          <w:szCs w:val="21"/>
          <w:highlight w:val="none"/>
          <w:u w:val="single"/>
        </w:rPr>
        <w:t>（企业名称）</w:t>
      </w:r>
      <w:r>
        <w:rPr>
          <w:rFonts w:hint="eastAsia" w:ascii="宋体" w:hAnsi="宋体"/>
          <w:szCs w:val="21"/>
          <w:highlight w:val="none"/>
        </w:rPr>
        <w:t>，从业人员</w:t>
      </w:r>
      <w:r>
        <w:rPr>
          <w:rFonts w:hint="eastAsia" w:ascii="宋体" w:hAnsi="宋体"/>
          <w:szCs w:val="21"/>
          <w:highlight w:val="none"/>
          <w:u w:val="single"/>
        </w:rPr>
        <w:t xml:space="preserve">  </w:t>
      </w:r>
      <w:r>
        <w:rPr>
          <w:rFonts w:hint="eastAsia" w:ascii="宋体" w:hAnsi="宋体"/>
          <w:szCs w:val="21"/>
          <w:highlight w:val="none"/>
          <w:u w:val="single"/>
          <w:lang w:val="en-US" w:eastAsia="zh-CN"/>
        </w:rPr>
        <w:t xml:space="preserve">   </w:t>
      </w:r>
      <w:r>
        <w:rPr>
          <w:rFonts w:hint="eastAsia" w:ascii="宋体" w:hAnsi="宋体"/>
          <w:szCs w:val="21"/>
          <w:highlight w:val="none"/>
        </w:rPr>
        <w:t>人，营业收入</w:t>
      </w:r>
      <w:r>
        <w:rPr>
          <w:rFonts w:hint="eastAsia" w:ascii="宋体" w:hAnsi="宋体"/>
          <w:szCs w:val="21"/>
          <w:highlight w:val="none"/>
          <w:u w:val="single"/>
        </w:rPr>
        <w:t xml:space="preserve">      </w:t>
      </w:r>
      <w:r>
        <w:rPr>
          <w:rFonts w:hint="eastAsia" w:ascii="宋体" w:hAnsi="宋体"/>
          <w:szCs w:val="21"/>
          <w:highlight w:val="none"/>
        </w:rPr>
        <w:t>为万元，资产总额为</w:t>
      </w:r>
      <w:r>
        <w:rPr>
          <w:rFonts w:hint="eastAsia" w:ascii="宋体" w:hAnsi="宋体"/>
          <w:szCs w:val="21"/>
          <w:highlight w:val="none"/>
          <w:u w:val="single"/>
        </w:rPr>
        <w:t xml:space="preserve">      </w:t>
      </w:r>
      <w:r>
        <w:rPr>
          <w:rFonts w:hint="eastAsia" w:ascii="宋体" w:hAnsi="宋体"/>
          <w:szCs w:val="21"/>
          <w:highlight w:val="none"/>
        </w:rPr>
        <w:t>万元¹，属于</w:t>
      </w:r>
      <w:r>
        <w:rPr>
          <w:rFonts w:hint="eastAsia" w:ascii="宋体" w:hAnsi="宋体"/>
          <w:szCs w:val="21"/>
          <w:highlight w:val="none"/>
          <w:u w:val="single"/>
        </w:rPr>
        <w:t>（中型企业、小型企业、微型企业）</w:t>
      </w:r>
      <w:r>
        <w:rPr>
          <w:rFonts w:hint="eastAsia" w:ascii="宋体" w:hAnsi="宋体"/>
          <w:szCs w:val="21"/>
          <w:highlight w:val="none"/>
        </w:rPr>
        <w:t xml:space="preserve">； </w:t>
      </w:r>
    </w:p>
    <w:p>
      <w:pPr>
        <w:spacing w:line="360" w:lineRule="auto"/>
        <w:ind w:firstLine="420" w:firstLineChars="200"/>
        <w:rPr>
          <w:rFonts w:hint="eastAsia" w:ascii="宋体" w:hAnsi="宋体"/>
          <w:szCs w:val="21"/>
          <w:highlight w:val="none"/>
        </w:rPr>
      </w:pPr>
      <w:r>
        <w:rPr>
          <w:rFonts w:hint="eastAsia" w:ascii="宋体" w:hAnsi="宋体"/>
          <w:szCs w:val="21"/>
          <w:highlight w:val="none"/>
        </w:rPr>
        <w:t>2.</w:t>
      </w:r>
      <w:r>
        <w:rPr>
          <w:rFonts w:hint="eastAsia" w:ascii="宋体" w:hAnsi="宋体"/>
          <w:szCs w:val="21"/>
          <w:highlight w:val="none"/>
          <w:u w:val="single"/>
        </w:rPr>
        <w:t xml:space="preserve"> （标的名称） </w:t>
      </w:r>
      <w:r>
        <w:rPr>
          <w:rFonts w:hint="eastAsia" w:ascii="宋体" w:hAnsi="宋体"/>
          <w:szCs w:val="21"/>
          <w:highlight w:val="none"/>
        </w:rPr>
        <w:t>，属于</w:t>
      </w:r>
      <w:r>
        <w:rPr>
          <w:rFonts w:hint="eastAsia" w:ascii="宋体" w:hAnsi="宋体"/>
          <w:szCs w:val="21"/>
          <w:highlight w:val="none"/>
          <w:u w:val="single"/>
          <w:lang w:eastAsia="zh-CN"/>
        </w:rPr>
        <w:t>工业</w:t>
      </w:r>
      <w:r>
        <w:rPr>
          <w:rFonts w:hint="eastAsia" w:ascii="宋体" w:hAnsi="宋体"/>
          <w:szCs w:val="21"/>
          <w:highlight w:val="none"/>
        </w:rPr>
        <w:t>行业；制造商为</w:t>
      </w:r>
      <w:r>
        <w:rPr>
          <w:rFonts w:hint="eastAsia" w:ascii="宋体" w:hAnsi="宋体"/>
          <w:szCs w:val="21"/>
          <w:highlight w:val="none"/>
          <w:u w:val="single"/>
        </w:rPr>
        <w:t>（企业名称）</w:t>
      </w:r>
      <w:r>
        <w:rPr>
          <w:rFonts w:hint="eastAsia" w:ascii="宋体" w:hAnsi="宋体"/>
          <w:szCs w:val="21"/>
          <w:highlight w:val="none"/>
        </w:rPr>
        <w:t>，从业人员</w:t>
      </w:r>
      <w:r>
        <w:rPr>
          <w:rFonts w:hint="eastAsia" w:ascii="宋体" w:hAnsi="宋体"/>
          <w:szCs w:val="21"/>
          <w:highlight w:val="none"/>
          <w:u w:val="single"/>
        </w:rPr>
        <w:t xml:space="preserve">     </w:t>
      </w:r>
      <w:r>
        <w:rPr>
          <w:rFonts w:hint="eastAsia" w:ascii="宋体" w:hAnsi="宋体"/>
          <w:szCs w:val="21"/>
          <w:highlight w:val="none"/>
        </w:rPr>
        <w:t>人，营业收入为</w:t>
      </w:r>
      <w:r>
        <w:rPr>
          <w:rFonts w:hint="eastAsia" w:ascii="宋体" w:hAnsi="宋体"/>
          <w:szCs w:val="21"/>
          <w:highlight w:val="none"/>
          <w:u w:val="single"/>
        </w:rPr>
        <w:t xml:space="preserve">     </w:t>
      </w:r>
      <w:r>
        <w:rPr>
          <w:rFonts w:hint="eastAsia" w:ascii="宋体" w:hAnsi="宋体"/>
          <w:szCs w:val="21"/>
          <w:highlight w:val="none"/>
        </w:rPr>
        <w:t>万元，资产总额为</w:t>
      </w:r>
      <w:r>
        <w:rPr>
          <w:rFonts w:hint="eastAsia" w:ascii="宋体" w:hAnsi="宋体"/>
          <w:szCs w:val="21"/>
          <w:highlight w:val="none"/>
          <w:u w:val="single"/>
        </w:rPr>
        <w:t xml:space="preserve">       </w:t>
      </w:r>
      <w:r>
        <w:rPr>
          <w:rFonts w:hint="eastAsia" w:ascii="宋体" w:hAnsi="宋体"/>
          <w:szCs w:val="21"/>
          <w:highlight w:val="none"/>
        </w:rPr>
        <w:t>万元¹，属于</w:t>
      </w:r>
      <w:r>
        <w:rPr>
          <w:rFonts w:hint="eastAsia" w:ascii="宋体" w:hAnsi="宋体"/>
          <w:szCs w:val="21"/>
          <w:highlight w:val="none"/>
          <w:u w:val="single"/>
        </w:rPr>
        <w:t>（中型企业、小型企业、微型企业）</w:t>
      </w:r>
      <w:r>
        <w:rPr>
          <w:rFonts w:hint="eastAsia" w:ascii="宋体" w:hAnsi="宋体"/>
          <w:szCs w:val="21"/>
          <w:highlight w:val="none"/>
        </w:rPr>
        <w:t xml:space="preserve">； </w:t>
      </w:r>
    </w:p>
    <w:p>
      <w:pPr>
        <w:spacing w:line="360" w:lineRule="auto"/>
        <w:ind w:firstLine="420" w:firstLineChars="200"/>
        <w:rPr>
          <w:rFonts w:hint="eastAsia" w:ascii="宋体" w:hAnsi="宋体"/>
          <w:szCs w:val="21"/>
          <w:highlight w:val="none"/>
        </w:rPr>
      </w:pPr>
      <w:r>
        <w:rPr>
          <w:rFonts w:hint="eastAsia" w:ascii="宋体" w:hAnsi="宋体"/>
          <w:szCs w:val="21"/>
          <w:highlight w:val="none"/>
        </w:rPr>
        <w:t>……</w:t>
      </w:r>
    </w:p>
    <w:p>
      <w:pPr>
        <w:spacing w:line="360" w:lineRule="auto"/>
        <w:ind w:firstLine="420" w:firstLineChars="200"/>
        <w:rPr>
          <w:rFonts w:hint="eastAsia" w:ascii="宋体" w:hAnsi="宋体"/>
          <w:szCs w:val="21"/>
          <w:highlight w:val="none"/>
        </w:rPr>
      </w:pPr>
      <w:r>
        <w:rPr>
          <w:rFonts w:hint="eastAsia" w:ascii="宋体" w:hAnsi="宋体"/>
          <w:szCs w:val="21"/>
          <w:highlight w:val="none"/>
        </w:rPr>
        <w:t>以上企业，不属于大企业的分支机构，不存在控股股东为大企业的情形，也不存在与大企业的负责人为同一人的情形。</w:t>
      </w:r>
    </w:p>
    <w:p>
      <w:pPr>
        <w:spacing w:line="360" w:lineRule="auto"/>
        <w:ind w:firstLine="420" w:firstLineChars="200"/>
        <w:rPr>
          <w:rFonts w:hint="eastAsia" w:ascii="宋体" w:hAnsi="宋体"/>
          <w:szCs w:val="21"/>
          <w:highlight w:val="none"/>
        </w:rPr>
      </w:pPr>
      <w:r>
        <w:rPr>
          <w:rFonts w:hint="eastAsia" w:ascii="宋体" w:hAnsi="宋体"/>
          <w:szCs w:val="21"/>
          <w:highlight w:val="none"/>
        </w:rPr>
        <w:t xml:space="preserve">本企业对上述声明内容的真实性负责。如有虚假，将依法承担相应责任。 </w:t>
      </w:r>
    </w:p>
    <w:p>
      <w:pPr>
        <w:spacing w:line="360" w:lineRule="auto"/>
        <w:ind w:firstLine="420" w:firstLineChars="200"/>
        <w:rPr>
          <w:rFonts w:hint="eastAsia" w:ascii="宋体" w:hAnsi="宋体"/>
          <w:szCs w:val="21"/>
          <w:highlight w:val="none"/>
        </w:rPr>
      </w:pPr>
      <w:r>
        <w:rPr>
          <w:rFonts w:hint="eastAsia" w:ascii="宋体" w:hAnsi="宋体"/>
          <w:color w:val="auto"/>
          <w:szCs w:val="21"/>
          <w:highlight w:val="none"/>
        </w:rPr>
        <w:t>投标人已知悉《政府采购促进中小企业发展管理办法》（财库〔2020〕46 号）、《中小企业划型标准规定》（工信部联企〔2011〕 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 等政府采购有关法律法规规定追究相应责任</w:t>
      </w:r>
      <w:r>
        <w:rPr>
          <w:rFonts w:hint="eastAsia" w:ascii="宋体" w:hAnsi="宋体"/>
          <w:color w:val="auto"/>
          <w:szCs w:val="21"/>
          <w:highlight w:val="none"/>
          <w:lang w:eastAsia="zh-CN"/>
        </w:rPr>
        <w:t>。</w:t>
      </w:r>
    </w:p>
    <w:p>
      <w:pPr>
        <w:wordWrap w:val="0"/>
        <w:spacing w:line="360" w:lineRule="auto"/>
        <w:ind w:firstLine="420" w:firstLineChars="200"/>
        <w:jc w:val="right"/>
        <w:rPr>
          <w:rFonts w:hint="eastAsia" w:ascii="宋体" w:hAnsi="宋体"/>
          <w:szCs w:val="21"/>
          <w:highlight w:val="none"/>
        </w:rPr>
      </w:pPr>
    </w:p>
    <w:p>
      <w:pPr>
        <w:wordWrap w:val="0"/>
        <w:spacing w:line="360" w:lineRule="auto"/>
        <w:ind w:firstLine="420" w:firstLineChars="200"/>
        <w:jc w:val="right"/>
        <w:rPr>
          <w:rFonts w:hint="eastAsia" w:ascii="宋体" w:hAnsi="宋体"/>
          <w:szCs w:val="21"/>
          <w:highlight w:val="none"/>
        </w:rPr>
      </w:pPr>
      <w:r>
        <w:rPr>
          <w:rFonts w:hint="eastAsia" w:ascii="宋体" w:hAnsi="宋体"/>
          <w:szCs w:val="21"/>
          <w:highlight w:val="none"/>
        </w:rPr>
        <w:t xml:space="preserve">投标人单位名称：   </w:t>
      </w:r>
    </w:p>
    <w:p>
      <w:pPr>
        <w:wordWrap w:val="0"/>
        <w:spacing w:line="360" w:lineRule="auto"/>
        <w:ind w:firstLine="420" w:firstLineChars="200"/>
        <w:jc w:val="right"/>
        <w:rPr>
          <w:rFonts w:hint="eastAsia" w:ascii="宋体" w:hAnsi="宋体"/>
          <w:szCs w:val="21"/>
          <w:highlight w:val="none"/>
        </w:rPr>
      </w:pPr>
      <w:r>
        <w:rPr>
          <w:rFonts w:hint="eastAsia" w:ascii="宋体" w:hAnsi="宋体"/>
          <w:szCs w:val="21"/>
          <w:highlight w:val="none"/>
        </w:rPr>
        <w:t xml:space="preserve">日期：       </w:t>
      </w:r>
    </w:p>
    <w:p>
      <w:pPr>
        <w:spacing w:line="360" w:lineRule="auto"/>
        <w:ind w:firstLine="420" w:firstLineChars="200"/>
        <w:rPr>
          <w:rFonts w:hint="eastAsia" w:ascii="宋体" w:hAnsi="宋体"/>
          <w:szCs w:val="21"/>
          <w:highlight w:val="none"/>
        </w:rPr>
      </w:pPr>
    </w:p>
    <w:p>
      <w:pPr>
        <w:adjustRightInd w:val="0"/>
        <w:snapToGrid w:val="0"/>
        <w:spacing w:line="360" w:lineRule="auto"/>
        <w:rPr>
          <w:rFonts w:hint="eastAsia" w:ascii="宋体" w:hAnsi="宋体"/>
          <w:szCs w:val="21"/>
          <w:highlight w:val="none"/>
        </w:rPr>
      </w:pPr>
      <w:r>
        <w:rPr>
          <w:rFonts w:hint="eastAsia" w:ascii="宋体" w:hAnsi="宋体"/>
          <w:szCs w:val="21"/>
          <w:highlight w:val="none"/>
        </w:rPr>
        <w:t>¹从业人员、营业收入、资产总额填报上一年度数据，无上一年度数据的新成立企业可不填报。</w:t>
      </w:r>
    </w:p>
    <w:p>
      <w:pPr>
        <w:pStyle w:val="5"/>
        <w:spacing w:line="360" w:lineRule="auto"/>
        <w:rPr>
          <w:rFonts w:hint="default" w:ascii="宋体" w:hAnsi="宋体" w:eastAsia="宋体" w:cs="Times New Roman"/>
          <w:b/>
          <w:bCs/>
          <w:kern w:val="2"/>
          <w:sz w:val="21"/>
          <w:szCs w:val="21"/>
          <w:highlight w:val="none"/>
          <w:lang w:val="en-US" w:eastAsia="zh-CN" w:bidi="ar-SA"/>
        </w:rPr>
      </w:pPr>
      <w:r>
        <w:rPr>
          <w:rFonts w:hint="eastAsia" w:ascii="宋体" w:hAnsi="宋体" w:eastAsia="宋体" w:cs="Times New Roman"/>
          <w:b/>
          <w:bCs/>
          <w:kern w:val="2"/>
          <w:sz w:val="21"/>
          <w:szCs w:val="21"/>
          <w:highlight w:val="none"/>
          <w:lang w:val="en-US" w:eastAsia="zh-CN" w:bidi="ar-SA"/>
        </w:rPr>
        <w:t>注:所投产品所有的货物制造商需一一列明企业类型。</w:t>
      </w:r>
    </w:p>
    <w:p>
      <w:pPr>
        <w:adjustRightInd w:val="0"/>
        <w:snapToGrid w:val="0"/>
        <w:spacing w:before="0" w:after="0" w:line="360" w:lineRule="auto"/>
        <w:jc w:val="center"/>
        <w:outlineLvl w:val="9"/>
        <w:rPr>
          <w:rFonts w:hint="eastAsia" w:ascii="宋体" w:hAnsi="宋体" w:eastAsia="宋体" w:cs="宋体"/>
          <w:b w:val="0"/>
          <w:highlight w:val="none"/>
        </w:rPr>
      </w:pPr>
    </w:p>
    <w:p>
      <w:pPr>
        <w:pStyle w:val="3"/>
        <w:adjustRightInd w:val="0"/>
        <w:snapToGrid w:val="0"/>
        <w:spacing w:before="0" w:after="0" w:line="360" w:lineRule="auto"/>
        <w:jc w:val="center"/>
        <w:rPr>
          <w:rFonts w:ascii="宋体" w:hAnsi="宋体" w:eastAsia="宋体" w:cs="宋体"/>
          <w:b w:val="0"/>
          <w:highlight w:val="none"/>
        </w:rPr>
      </w:pPr>
      <w:r>
        <w:rPr>
          <w:rFonts w:hint="eastAsia" w:ascii="宋体" w:hAnsi="宋体" w:eastAsia="宋体" w:cs="宋体"/>
          <w:b w:val="0"/>
          <w:highlight w:val="none"/>
        </w:rPr>
        <w:t>监狱企业的证明文件（如适用）</w:t>
      </w:r>
    </w:p>
    <w:p>
      <w:pPr>
        <w:spacing w:line="360" w:lineRule="auto"/>
        <w:ind w:firstLine="308" w:firstLineChars="147"/>
        <w:rPr>
          <w:rFonts w:ascii="宋体" w:hAnsi="宋体" w:cs="宋体"/>
          <w:highlight w:val="none"/>
        </w:rPr>
      </w:pPr>
      <w:r>
        <w:rPr>
          <w:rFonts w:hint="eastAsia" w:ascii="宋体" w:hAnsi="宋体" w:cs="宋体"/>
          <w:highlight w:val="none"/>
        </w:rPr>
        <w:t>说明：监狱企业参加政府采购活动时，应当提供由省级以上监狱管理局、戒毒管理局（含新疆生产建设兵团）出具的属于监狱企业的证明文件复印件，并加盖投标单位公章。</w:t>
      </w:r>
    </w:p>
    <w:p>
      <w:pPr>
        <w:spacing w:line="360" w:lineRule="auto"/>
        <w:ind w:firstLine="310" w:firstLineChars="147"/>
        <w:rPr>
          <w:rFonts w:ascii="宋体" w:hAnsi="宋体" w:cs="宋体"/>
          <w:b/>
          <w:highlight w:val="none"/>
        </w:rPr>
      </w:pPr>
    </w:p>
    <w:p>
      <w:pPr>
        <w:pStyle w:val="3"/>
        <w:adjustRightInd w:val="0"/>
        <w:snapToGrid w:val="0"/>
        <w:spacing w:before="0" w:after="0" w:line="360" w:lineRule="auto"/>
        <w:jc w:val="center"/>
        <w:rPr>
          <w:rFonts w:ascii="宋体" w:hAnsi="宋体" w:eastAsia="宋体" w:cs="宋体"/>
          <w:b w:val="0"/>
          <w:highlight w:val="none"/>
        </w:rPr>
      </w:pPr>
      <w:bookmarkStart w:id="0" w:name="OLE_LINK13"/>
      <w:bookmarkStart w:id="1" w:name="OLE_LINK14"/>
      <w:r>
        <w:rPr>
          <w:rFonts w:hint="eastAsia" w:ascii="宋体" w:hAnsi="宋体" w:eastAsia="宋体" w:cs="宋体"/>
          <w:b w:val="0"/>
          <w:highlight w:val="none"/>
        </w:rPr>
        <w:t>残疾人福利性单位声明函（如适用）</w:t>
      </w:r>
    </w:p>
    <w:bookmarkEnd w:id="0"/>
    <w:bookmarkEnd w:id="1"/>
    <w:p>
      <w:pPr>
        <w:adjustRightInd w:val="0"/>
        <w:snapToGrid w:val="0"/>
        <w:spacing w:line="360" w:lineRule="auto"/>
        <w:ind w:firstLine="444" w:firstLineChars="200"/>
        <w:rPr>
          <w:rFonts w:ascii="宋体" w:hAnsi="宋体" w:cs="宋体"/>
          <w:spacing w:val="6"/>
          <w:szCs w:val="21"/>
          <w:highlight w:val="none"/>
        </w:rPr>
      </w:pPr>
      <w:r>
        <w:rPr>
          <w:rFonts w:hint="eastAsia" w:ascii="宋体" w:hAnsi="宋体" w:cs="宋体"/>
          <w:spacing w:val="6"/>
          <w:szCs w:val="21"/>
          <w:highlight w:val="none"/>
        </w:rPr>
        <w:t>本单位郑重声明，根据《财政部 民政部 中国残疾人联合会关于促进残疾人就业政府采购政策的通知》（财库</w:t>
      </w:r>
      <w:r>
        <w:rPr>
          <w:rFonts w:hint="eastAsia" w:ascii="宋体" w:hAnsi="宋体" w:cs="宋体"/>
          <w:szCs w:val="21"/>
          <w:highlight w:val="none"/>
        </w:rPr>
        <w:t>〔2017〕 141</w:t>
      </w:r>
      <w:r>
        <w:rPr>
          <w:rFonts w:hint="eastAsia" w:ascii="宋体" w:hAnsi="宋体" w:cs="宋体"/>
          <w:spacing w:val="6"/>
          <w:szCs w:val="21"/>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adjustRightInd w:val="0"/>
        <w:snapToGrid w:val="0"/>
        <w:spacing w:line="360" w:lineRule="auto"/>
        <w:ind w:firstLine="444" w:firstLineChars="200"/>
        <w:rPr>
          <w:rFonts w:ascii="宋体" w:hAnsi="宋体" w:cs="宋体"/>
          <w:spacing w:val="6"/>
          <w:szCs w:val="21"/>
          <w:highlight w:val="none"/>
        </w:rPr>
      </w:pPr>
      <w:r>
        <w:rPr>
          <w:rFonts w:hint="eastAsia" w:ascii="宋体" w:hAnsi="宋体" w:cs="宋体"/>
          <w:spacing w:val="6"/>
          <w:szCs w:val="21"/>
          <w:highlight w:val="none"/>
        </w:rPr>
        <w:t>本单位对上述声明的真实性负责。如有虚假，将依法承担相应责任。</w:t>
      </w:r>
    </w:p>
    <w:p>
      <w:pPr>
        <w:adjustRightInd w:val="0"/>
        <w:snapToGrid w:val="0"/>
        <w:spacing w:line="360" w:lineRule="auto"/>
        <w:ind w:firstLine="444" w:firstLineChars="200"/>
        <w:rPr>
          <w:rFonts w:hint="eastAsia" w:ascii="宋体" w:hAnsi="宋体" w:eastAsia="宋体" w:cs="宋体"/>
          <w:color w:val="auto"/>
          <w:spacing w:val="6"/>
          <w:szCs w:val="21"/>
          <w:highlight w:val="none"/>
          <w:lang w:eastAsia="zh-CN"/>
        </w:rPr>
      </w:pPr>
      <w:r>
        <w:rPr>
          <w:rFonts w:hint="eastAsia" w:ascii="宋体" w:hAnsi="宋体" w:cs="宋体"/>
          <w:color w:val="auto"/>
          <w:spacing w:val="6"/>
          <w:szCs w:val="21"/>
          <w:highlight w:val="none"/>
        </w:rPr>
        <w:t>投标人知悉《关于促进残疾人就业政府采购政策的通知》（财库〔2017〕141号）的规定，承诺提供的声明函内容是真实的，如提供声明函内容不实，则依法追究相关法律责任</w:t>
      </w:r>
      <w:r>
        <w:rPr>
          <w:rFonts w:hint="eastAsia" w:ascii="宋体" w:hAnsi="宋体" w:cs="宋体"/>
          <w:color w:val="auto"/>
          <w:spacing w:val="6"/>
          <w:szCs w:val="21"/>
          <w:highlight w:val="none"/>
          <w:lang w:eastAsia="zh-CN"/>
        </w:rPr>
        <w:t>。</w:t>
      </w:r>
    </w:p>
    <w:p>
      <w:pPr>
        <w:spacing w:line="240" w:lineRule="auto"/>
        <w:ind w:left="0" w:leftChars="0" w:right="0"/>
        <w:jc w:val="left"/>
        <w:rPr>
          <w:rFonts w:hint="eastAsia"/>
          <w:highlight w:val="none"/>
        </w:rPr>
      </w:pPr>
    </w:p>
    <w:p>
      <w:pPr>
        <w:tabs>
          <w:tab w:val="left" w:pos="4860"/>
        </w:tabs>
        <w:spacing w:line="360" w:lineRule="auto"/>
        <w:ind w:left="6237" w:leftChars="2970" w:right="108"/>
        <w:jc w:val="left"/>
        <w:rPr>
          <w:rFonts w:ascii="宋体" w:hAnsi="宋体" w:cs="宋体"/>
          <w:spacing w:val="6"/>
          <w:szCs w:val="21"/>
          <w:highlight w:val="none"/>
        </w:rPr>
      </w:pPr>
      <w:r>
        <w:rPr>
          <w:rFonts w:hint="eastAsia" w:ascii="宋体" w:hAnsi="宋体" w:cs="宋体"/>
          <w:spacing w:val="6"/>
          <w:szCs w:val="21"/>
          <w:highlight w:val="none"/>
        </w:rPr>
        <w:t>单位名称（盖章）：</w:t>
      </w:r>
    </w:p>
    <w:p>
      <w:pPr>
        <w:tabs>
          <w:tab w:val="left" w:pos="4860"/>
        </w:tabs>
        <w:spacing w:line="360" w:lineRule="auto"/>
        <w:ind w:left="6237" w:leftChars="2970" w:right="108"/>
        <w:jc w:val="left"/>
        <w:rPr>
          <w:rFonts w:hint="eastAsia" w:ascii="宋体" w:hAnsi="宋体" w:cs="宋体"/>
          <w:spacing w:val="6"/>
          <w:szCs w:val="21"/>
          <w:highlight w:val="none"/>
        </w:rPr>
      </w:pPr>
      <w:r>
        <w:rPr>
          <w:rFonts w:hint="eastAsia" w:ascii="宋体" w:hAnsi="宋体" w:cs="宋体"/>
          <w:spacing w:val="6"/>
          <w:szCs w:val="21"/>
          <w:highlight w:val="none"/>
        </w:rPr>
        <w:t>日  期：</w:t>
      </w:r>
    </w:p>
    <w:p>
      <w:pPr>
        <w:spacing w:line="240" w:lineRule="auto"/>
        <w:ind w:left="0" w:leftChars="0" w:right="0"/>
        <w:jc w:val="center"/>
        <w:rPr>
          <w:rStyle w:val="9"/>
          <w:rFonts w:hint="eastAsia"/>
          <w:b/>
          <w:bCs/>
          <w:highlight w:val="none"/>
          <w:lang w:val="en-US" w:eastAsia="zh-CN"/>
        </w:rPr>
      </w:pPr>
      <w:r>
        <w:rPr>
          <w:rFonts w:hint="eastAsia" w:ascii="宋体" w:hAnsi="宋体" w:cs="宋体"/>
          <w:spacing w:val="6"/>
          <w:szCs w:val="21"/>
          <w:highlight w:val="none"/>
        </w:rPr>
        <w:br w:type="page"/>
      </w:r>
      <w:r>
        <w:rPr>
          <w:rStyle w:val="9"/>
          <w:rFonts w:hint="eastAsia"/>
          <w:b/>
          <w:bCs/>
          <w:highlight w:val="none"/>
          <w:lang w:val="zh-CN"/>
        </w:rPr>
        <w:t>附件</w:t>
      </w:r>
      <w:r>
        <w:rPr>
          <w:rStyle w:val="9"/>
          <w:rFonts w:hint="eastAsia"/>
          <w:b/>
          <w:bCs/>
          <w:highlight w:val="none"/>
          <w:lang w:val="en-US" w:eastAsia="zh-CN"/>
        </w:rPr>
        <w:t>1：政府采购促进中小企业发展管理办法</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第一条 为了发挥政府采购的政策功能，促进中小企业健康发展，根据《中华人民共和国政府采购法》、《中华人民共和国中小企业促进法》等有关法律法规，制定本办法。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第二条 本办法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第三条 采购人在政府采购活动中应当通过加强采购需求管理，落实预留采购份额、价格评审优惠、优先采购等措施，提高中小企业在政府采购中的份额，支持中小企业发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展。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第四条 在政府采购活动中，供应商提供的货物、工程或者服务符合下列情形的，享受本办法规定的中小企业扶持政策：</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（一）在货物采购项目中，货物由中小企业制造，即货物由中小企业生产且使用该中小企业商号或者注册商标；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（二）在工程采购项目中，工程由中小企业承建，即工程施工单位为中小企业；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三）在服务采购项目中，服务由中小企业承接，即提供服务的人员为中小企业依照《中华人民共和国劳动合同法》订立劳动合同的从业人员。在货物采购项目中，供应商提供的货物既有中小企业制造货物，也有大型企业制造货物的，不享受本办法规定的中小企业扶持政策。以联合体形式参加政府采购活动，联合体各方均为中小企业的，联合体视同中小企业。其中，联合体各方均为小微企业的，联合体视同小微企业。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第五条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第六条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符合下列情形之一的，可不专门面向中小企业预留采购份额：</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（一）法律法规和国家有关政策明确规定优先或者应当面向事业单位、社会组织等非企业主体采购的；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（二）因确需使用不可替代的专利、专有技术，基础设施限制，或者提供特定公共服务等原因，只能从中小企业之外的供应商处采购的；</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（三）按照本办法规定预留采购份额无法确保充分供应、充分竞争，或者存在可能影响政府采购目标实现的情形；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（四）框架协议采购项目；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（五）省级以上人民政府财政部门规定的其他情形。 除上述情形外，其他均为适宜由中小企业提供的情形。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第七条 采购限额标准以上，200 万元以下的货物和服务采购项目、400 万元以下的工程采购项目，适宜由中小企业提供的，采购人应当专门面向中小企业采购。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第八条 超过 200 万元的货物和服务采购项目、超过 400 万元的工程采购项目中适宜由中小企业提供的，预留该部分采购项目预算总额的 30%以上专门面向中小企业采购，其中预留给小微企业的比例不低于60%。预留份额通过下列措施进行：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（一）将采购项目整体或者设置采购包专门面向中小企业采购；</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（二）要求供应商以联合体形式参加采购活动，且联合体中中小企业承担的部分达到一定比例；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（三）要求获得采购合同的供应商将采购项目中的一定比例分包给一家或者多家中小企业。组成联合体或者接受分包合同的中小企业与联合体内其他企业、分包企业之间不得存在直接控股、管理关系。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第九条 对于经主管预算单位统筹后未预留份额专门面向中小企业采购的采购项目，以及预留份额项目中的非预留部分采购包，采购人、采购代理机构应当对符合本办法规定的小微企业报价给予 6%—10%（工程项目为 3%—5%）的扣除，用扣除后的价格参加评审。适用招标投标法的政府采购工程建设项目，采用综合评估法但未采用低价优先法计算价格分的，评标时应当在采用原报价进行评分的基础上增加其价格得分的 3%—5%作为其价格分。接受大中型企业与小微企业组成联合体或者允许大中型企业向一家或者多家小微企业分包的采购项目，对于联合协议或者分包意向协议约定小微企业的合同份额占到合同总金额 30%以上的，采购人、采购代理机构应当对联合体或者大中型企业的报价给予 2%-3%（工程项目为 1%—2%）的扣除，用扣除后的价格参加评审。适用招标投标法的政府采购工程建设项目，采用综合评估法但未采用低价优先法计算价格分的，评标时应当在采用原报价进行评分的基础上增加其价格得分的 1%—2%作为其价格分。组成联合体或者接受分包的小微企业与联合体内其他企业、分包企业之间存在直接控股、管理关系的，不享受价格扣除优惠政策。价格扣除比例或者价格分加分比例对小型企业和微型企业同等对待，不作区分。具体采购项目的价格扣除比例或者价格分加分比例，由采购人根据采购标的相关行业平均利润率、市场竞争状况等，在本办法规定的幅度内确定。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第十条 采购人应当严格按照本办法规定和主管预算单位制定的预留采购份额具体方案开展采购活动。预留份额的采购项目或者采购包，通过发布公告方式邀请供应商后，符合资格条件的中小企业数量不足 3 家的，应当中止采购活动，视同未预留份额的采购项目或者采购包，按照本办法第九条有关规定重新组织采购活动。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第十一条 中小企业参加政府采购活动，应当出具本办法规定的《中小企业声明函》（附 1），否则不得享受相关中小企业扶持政策。任何单位和个人不得要求供应商提供《中小企业声明函》之外的中小企业身份证明文件。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第十二条 采购项目涉及中小企业采购的，采购文件应当明确以下内容：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（一）预留份额的采购项目或者采购包，明确该项目或相关采购包专门面向中小企业采购，以及相关标的及预算金额；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（二）要求以联合体形式参加或者合同分包的，明确联合协议或者分包意向协议中中小企业合同金额应当达到的比例，并作为供应商资格条件；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（三）非预留份额的采购项目或者采购包，明确有关价格扣除比例或者价格分加分比例；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（四）规定依据本办法规定享受扶持政策获得政府采购合同的，小微企业不得将合同分包给大中型企业，中型企业不得将合同分包给大型企业；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（五）采购人认为具备相关条件的，明确对中小企业在资金支付期限、预付款比例等方面的优惠措施；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（六）明确采购标的对应的中小企业划分标准所属行业；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（七）法律法规和省级以上人民政府财政部门规定的其他事项。</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第十三条 中标、成交供应商享受本办法规定的中小企业扶持政策的，采购人、采购代理机构应当随中标、成交结果公开中标、成交供应商的《中小企业声明函》。 适用招标投标法的政府采购工程建设项目，应当在公示中标候选人时公开中标候选人的《中小企业声明函》。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第十四条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第十五条 鼓励各地区、各部门在采购活动中允许中小企业引入信用担保手段，为中小企业在投标（响应）保证、履约保证等方面提供专业化服务。鼓励中小企业依法合规通过政府采购合同融资。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第十六条 政府采购监督检查、投诉处理及政府采购行政处罚中对中小企业的认定，由货物制造商或者工程、服务供应商注册登记所在地的县级以上人民政府中小企业主管部门负责。中小企业主管部门应当在收到财政部门或者有关招标投标行政监督部门关于协助开展中小企业认定函后 10 个工作日内做出书面答复。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第十七条 各地区、各部门应当对涉及中小企业采购的预算项目实施全过程绩效管理，合理设置绩效目标和指标，落实扶持中小企业有关政策要求，定期开展绩效监控和评价，强化绩效评价结果应用。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第十八条 主管预算单位应当自 2022 年起向同级财政部门报告本部门上一年度面向中小企业预留份额和采购的具体情况，并在中国政府采购网公开预留项目执行情况(附2)。未达到本办法规定的预留份额比例的，应当作出说明。</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第十九条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第二十条 供应商按照本办法规定提供声明函内容不实的，属于提供虚假材料谋取中标、成交，依照《中华人民共和国政府采购法》等国家有关规定追究相应责任。适用招标投标法的政府采购工程建设项目，投标人按照本办法规定提供声明函内容不实的，属于弄虚作假骗取中标，依照《中华人民共和国招标投标法》等国家有关规定追究相应责任。</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第二十一条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第二十二条 对外援助项目、国家相关资格或者资质管理制度另有规定的项目，不适用本办法。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第二十三条 关于视同中小企业的其他主体的政府采购扶持政策，由财政部会同有关部门另行规定。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第二十四条 省级财政部门可以会同中小企业主管部门根据本办法的规定制定具体实施办法。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第二十五条 本办法自 2021 年 1 月 1 日起施行。《财政部 工业和信息化部关于印发〈政府采购促进中小企业发展暂行办法〉的通知》（财库﹝2011﹞181 号）同时废止。 </w:t>
      </w:r>
    </w:p>
    <w:p>
      <w:pPr>
        <w:pStyle w:val="2"/>
        <w:keepNext w:val="0"/>
        <w:keepLines w:val="0"/>
        <w:pageBreakBefore w:val="0"/>
        <w:kinsoku/>
        <w:overflowPunct/>
        <w:topLinePunct w:val="0"/>
        <w:autoSpaceDE/>
        <w:autoSpaceDN/>
        <w:bidi w:val="0"/>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br w:type="page"/>
      </w:r>
    </w:p>
    <w:p>
      <w:pPr>
        <w:pStyle w:val="3"/>
        <w:rPr>
          <w:rFonts w:hint="eastAsia" w:ascii="宋体" w:hAnsi="宋体" w:eastAsia="宋体" w:cs="宋体"/>
          <w:b/>
          <w:bCs/>
          <w:color w:val="auto"/>
          <w:spacing w:val="6"/>
          <w:sz w:val="24"/>
          <w:szCs w:val="24"/>
          <w:highlight w:val="none"/>
          <w:lang w:val="en-US" w:eastAsia="zh-CN"/>
        </w:rPr>
      </w:pPr>
      <w:r>
        <w:rPr>
          <w:rFonts w:hint="eastAsia" w:ascii="宋体" w:hAnsi="宋体" w:eastAsia="宋体" w:cs="宋体"/>
          <w:b/>
          <w:bCs/>
          <w:color w:val="auto"/>
          <w:spacing w:val="6"/>
          <w:sz w:val="24"/>
          <w:szCs w:val="24"/>
          <w:highlight w:val="none"/>
          <w:lang w:val="zh-CN"/>
        </w:rPr>
        <w:t>附件</w:t>
      </w:r>
      <w:r>
        <w:rPr>
          <w:rFonts w:hint="eastAsia" w:ascii="宋体" w:hAnsi="宋体" w:eastAsia="宋体" w:cs="宋体"/>
          <w:b/>
          <w:bCs/>
          <w:color w:val="auto"/>
          <w:spacing w:val="6"/>
          <w:sz w:val="24"/>
          <w:szCs w:val="24"/>
          <w:highlight w:val="none"/>
          <w:lang w:val="en-US" w:eastAsia="zh-CN"/>
        </w:rPr>
        <w:t>2：工信部联企业[2011]300号</w:t>
      </w:r>
    </w:p>
    <w:p>
      <w:pPr>
        <w:keepNext w:val="0"/>
        <w:keepLines w:val="0"/>
        <w:pageBreakBefore w:val="0"/>
        <w:kinsoku/>
        <w:overflowPunct/>
        <w:topLinePunct w:val="0"/>
        <w:autoSpaceDE/>
        <w:autoSpaceDN/>
        <w:bidi w:val="0"/>
        <w:adjustRightInd w:val="0"/>
        <w:snapToGrid w:val="0"/>
        <w:spacing w:line="360" w:lineRule="auto"/>
        <w:ind w:firstLine="444" w:firstLineChars="200"/>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各省、自治区、直辖市人民政府，国务院各部委及有关单位：</w:t>
      </w:r>
    </w:p>
    <w:p>
      <w:pPr>
        <w:keepNext w:val="0"/>
        <w:keepLines w:val="0"/>
        <w:pageBreakBefore w:val="0"/>
        <w:kinsoku/>
        <w:overflowPunct/>
        <w:topLinePunct w:val="0"/>
        <w:autoSpaceDE/>
        <w:autoSpaceDN/>
        <w:bidi w:val="0"/>
        <w:adjustRightInd w:val="0"/>
        <w:snapToGrid w:val="0"/>
        <w:spacing w:line="360" w:lineRule="auto"/>
        <w:ind w:firstLine="444" w:firstLineChars="200"/>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keepNext w:val="0"/>
        <w:keepLines w:val="0"/>
        <w:pageBreakBefore w:val="0"/>
        <w:kinsoku/>
        <w:overflowPunct/>
        <w:topLinePunct w:val="0"/>
        <w:autoSpaceDE/>
        <w:autoSpaceDN/>
        <w:bidi w:val="0"/>
        <w:adjustRightInd w:val="0"/>
        <w:snapToGrid w:val="0"/>
        <w:spacing w:line="360" w:lineRule="auto"/>
        <w:ind w:firstLine="444" w:firstLineChars="200"/>
        <w:jc w:val="right"/>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工业和信息化部 国家统计局</w:t>
      </w:r>
    </w:p>
    <w:p>
      <w:pPr>
        <w:keepNext w:val="0"/>
        <w:keepLines w:val="0"/>
        <w:pageBreakBefore w:val="0"/>
        <w:kinsoku/>
        <w:overflowPunct/>
        <w:topLinePunct w:val="0"/>
        <w:autoSpaceDE/>
        <w:autoSpaceDN/>
        <w:bidi w:val="0"/>
        <w:adjustRightInd w:val="0"/>
        <w:snapToGrid w:val="0"/>
        <w:spacing w:line="360" w:lineRule="auto"/>
        <w:ind w:firstLine="444" w:firstLineChars="200"/>
        <w:jc w:val="right"/>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国家发展和改革委员会 财政部</w:t>
      </w:r>
    </w:p>
    <w:p>
      <w:pPr>
        <w:keepNext w:val="0"/>
        <w:keepLines w:val="0"/>
        <w:pageBreakBefore w:val="0"/>
        <w:kinsoku/>
        <w:overflowPunct/>
        <w:topLinePunct w:val="0"/>
        <w:autoSpaceDE/>
        <w:autoSpaceDN/>
        <w:bidi w:val="0"/>
        <w:adjustRightInd w:val="0"/>
        <w:snapToGrid w:val="0"/>
        <w:spacing w:line="360" w:lineRule="auto"/>
        <w:ind w:firstLine="444" w:firstLineChars="200"/>
        <w:jc w:val="right"/>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二〇一一年六月十八日</w:t>
      </w:r>
    </w:p>
    <w:p>
      <w:pPr>
        <w:keepNext w:val="0"/>
        <w:keepLines w:val="0"/>
        <w:pageBreakBefore w:val="0"/>
        <w:kinsoku/>
        <w:overflowPunct/>
        <w:topLinePunct w:val="0"/>
        <w:autoSpaceDE/>
        <w:autoSpaceDN/>
        <w:bidi w:val="0"/>
        <w:adjustRightInd w:val="0"/>
        <w:snapToGrid w:val="0"/>
        <w:spacing w:line="360" w:lineRule="auto"/>
        <w:ind w:firstLine="223" w:firstLineChars="100"/>
        <w:jc w:val="center"/>
        <w:textAlignment w:val="auto"/>
        <w:rPr>
          <w:rFonts w:hint="eastAsia" w:ascii="宋体" w:hAnsi="宋体" w:eastAsia="宋体" w:cs="宋体"/>
          <w:b/>
          <w:bCs/>
          <w:color w:val="auto"/>
          <w:spacing w:val="6"/>
          <w:sz w:val="21"/>
          <w:szCs w:val="21"/>
          <w:highlight w:val="none"/>
          <w:lang w:val="en-US" w:eastAsia="zh-CN"/>
        </w:rPr>
      </w:pPr>
      <w:r>
        <w:rPr>
          <w:rFonts w:hint="eastAsia" w:ascii="宋体" w:hAnsi="宋体" w:eastAsia="宋体" w:cs="宋体"/>
          <w:b/>
          <w:bCs/>
          <w:color w:val="auto"/>
          <w:spacing w:val="6"/>
          <w:sz w:val="21"/>
          <w:szCs w:val="21"/>
          <w:highlight w:val="none"/>
          <w:lang w:val="en-US" w:eastAsia="zh-CN"/>
        </w:rPr>
        <w:t>中小企业划型标准规定：</w:t>
      </w:r>
    </w:p>
    <w:p>
      <w:pPr>
        <w:keepNext w:val="0"/>
        <w:keepLines w:val="0"/>
        <w:pageBreakBefore w:val="0"/>
        <w:kinsoku/>
        <w:overflowPunct/>
        <w:topLinePunct w:val="0"/>
        <w:autoSpaceDE/>
        <w:autoSpaceDN/>
        <w:bidi w:val="0"/>
        <w:adjustRightInd w:val="0"/>
        <w:snapToGrid w:val="0"/>
        <w:spacing w:line="360" w:lineRule="auto"/>
        <w:ind w:firstLine="444" w:firstLineChars="200"/>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一、根据《中华人民共和国中小企业促进法》和《国务院关于进一步促进中小企业发展的若干意见》(国发〔2009〕36号)，制定本规定。</w:t>
      </w:r>
    </w:p>
    <w:p>
      <w:pPr>
        <w:keepNext w:val="0"/>
        <w:keepLines w:val="0"/>
        <w:pageBreakBefore w:val="0"/>
        <w:kinsoku/>
        <w:overflowPunct/>
        <w:topLinePunct w:val="0"/>
        <w:autoSpaceDE/>
        <w:autoSpaceDN/>
        <w:bidi w:val="0"/>
        <w:adjustRightInd w:val="0"/>
        <w:snapToGrid w:val="0"/>
        <w:spacing w:line="360" w:lineRule="auto"/>
        <w:ind w:firstLine="444" w:firstLineChars="200"/>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二、中小企业划分为中型、小型、微型三种类型，具体标准根据企业从业人员、营业收入、资产总额等指标，结合行业特点制定。</w:t>
      </w:r>
    </w:p>
    <w:p>
      <w:pPr>
        <w:keepNext w:val="0"/>
        <w:keepLines w:val="0"/>
        <w:pageBreakBefore w:val="0"/>
        <w:kinsoku/>
        <w:overflowPunct/>
        <w:topLinePunct w:val="0"/>
        <w:autoSpaceDE/>
        <w:autoSpaceDN/>
        <w:bidi w:val="0"/>
        <w:adjustRightInd w:val="0"/>
        <w:snapToGrid w:val="0"/>
        <w:spacing w:line="360" w:lineRule="auto"/>
        <w:ind w:firstLine="444" w:firstLineChars="200"/>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三、本规定适用的行业包括：农、林、牧、渔业，工业（包括采矿业，制造业，电力、热力、燃气及水生产和供应业），建筑业，批发业，零售业，交通运输业（不含铁路运输业），仓储业，邮政业，</w:t>
      </w:r>
    </w:p>
    <w:p>
      <w:pPr>
        <w:keepNext w:val="0"/>
        <w:keepLines w:val="0"/>
        <w:pageBreakBefore w:val="0"/>
        <w:kinsoku/>
        <w:overflowPunct/>
        <w:topLinePunct w:val="0"/>
        <w:autoSpaceDE/>
        <w:autoSpaceDN/>
        <w:bidi w:val="0"/>
        <w:adjustRightInd w:val="0"/>
        <w:snapToGrid w:val="0"/>
        <w:spacing w:line="360" w:lineRule="auto"/>
        <w:ind w:firstLine="444" w:firstLineChars="200"/>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keepNext w:val="0"/>
        <w:keepLines w:val="0"/>
        <w:pageBreakBefore w:val="0"/>
        <w:kinsoku/>
        <w:overflowPunct/>
        <w:topLinePunct w:val="0"/>
        <w:autoSpaceDE/>
        <w:autoSpaceDN/>
        <w:bidi w:val="0"/>
        <w:adjustRightInd w:val="0"/>
        <w:snapToGrid w:val="0"/>
        <w:spacing w:line="360" w:lineRule="auto"/>
        <w:ind w:firstLine="444" w:firstLineChars="200"/>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四、各行业划型标准为：</w:t>
      </w:r>
    </w:p>
    <w:p>
      <w:pPr>
        <w:keepNext w:val="0"/>
        <w:keepLines w:val="0"/>
        <w:pageBreakBefore w:val="0"/>
        <w:kinsoku/>
        <w:overflowPunct/>
        <w:topLinePunct w:val="0"/>
        <w:autoSpaceDE/>
        <w:autoSpaceDN/>
        <w:bidi w:val="0"/>
        <w:adjustRightInd w:val="0"/>
        <w:snapToGrid w:val="0"/>
        <w:spacing w:line="360" w:lineRule="auto"/>
        <w:ind w:firstLine="444" w:firstLineChars="200"/>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（一）农、林、牧、渔业。营业收入20000万元以下的为中小微型企业。其中，营业收入500万元及以上的为中型企业，营业收入50万元及以上的为小型企业，营业收入50万元以下的为微型企业。</w:t>
      </w:r>
    </w:p>
    <w:p>
      <w:pPr>
        <w:keepNext w:val="0"/>
        <w:keepLines w:val="0"/>
        <w:pageBreakBefore w:val="0"/>
        <w:kinsoku/>
        <w:overflowPunct/>
        <w:topLinePunct w:val="0"/>
        <w:autoSpaceDE/>
        <w:autoSpaceDN/>
        <w:bidi w:val="0"/>
        <w:adjustRightInd w:val="0"/>
        <w:snapToGrid w:val="0"/>
        <w:spacing w:line="360" w:lineRule="auto"/>
        <w:ind w:firstLine="444" w:firstLineChars="200"/>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keepNext w:val="0"/>
        <w:keepLines w:val="0"/>
        <w:pageBreakBefore w:val="0"/>
        <w:kinsoku/>
        <w:overflowPunct/>
        <w:topLinePunct w:val="0"/>
        <w:autoSpaceDE/>
        <w:autoSpaceDN/>
        <w:bidi w:val="0"/>
        <w:adjustRightInd w:val="0"/>
        <w:snapToGrid w:val="0"/>
        <w:spacing w:line="360" w:lineRule="auto"/>
        <w:ind w:firstLine="444" w:firstLineChars="200"/>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keepNext w:val="0"/>
        <w:keepLines w:val="0"/>
        <w:pageBreakBefore w:val="0"/>
        <w:kinsoku/>
        <w:overflowPunct/>
        <w:topLinePunct w:val="0"/>
        <w:autoSpaceDE/>
        <w:autoSpaceDN/>
        <w:bidi w:val="0"/>
        <w:adjustRightInd w:val="0"/>
        <w:snapToGrid w:val="0"/>
        <w:spacing w:line="360" w:lineRule="auto"/>
        <w:ind w:firstLine="444" w:firstLineChars="200"/>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keepNext w:val="0"/>
        <w:keepLines w:val="0"/>
        <w:pageBreakBefore w:val="0"/>
        <w:kinsoku/>
        <w:overflowPunct/>
        <w:topLinePunct w:val="0"/>
        <w:autoSpaceDE/>
        <w:autoSpaceDN/>
        <w:bidi w:val="0"/>
        <w:adjustRightInd w:val="0"/>
        <w:snapToGrid w:val="0"/>
        <w:spacing w:line="360" w:lineRule="auto"/>
        <w:ind w:firstLine="444" w:firstLineChars="200"/>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keepNext w:val="0"/>
        <w:keepLines w:val="0"/>
        <w:pageBreakBefore w:val="0"/>
        <w:kinsoku/>
        <w:overflowPunct/>
        <w:topLinePunct w:val="0"/>
        <w:autoSpaceDE/>
        <w:autoSpaceDN/>
        <w:bidi w:val="0"/>
        <w:adjustRightInd w:val="0"/>
        <w:snapToGrid w:val="0"/>
        <w:spacing w:line="360" w:lineRule="auto"/>
        <w:ind w:firstLine="444" w:firstLineChars="200"/>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keepNext w:val="0"/>
        <w:keepLines w:val="0"/>
        <w:pageBreakBefore w:val="0"/>
        <w:kinsoku/>
        <w:overflowPunct/>
        <w:topLinePunct w:val="0"/>
        <w:autoSpaceDE/>
        <w:autoSpaceDN/>
        <w:bidi w:val="0"/>
        <w:adjustRightInd w:val="0"/>
        <w:snapToGrid w:val="0"/>
        <w:spacing w:line="360" w:lineRule="auto"/>
        <w:ind w:firstLine="444" w:firstLineChars="200"/>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keepNext w:val="0"/>
        <w:keepLines w:val="0"/>
        <w:pageBreakBefore w:val="0"/>
        <w:kinsoku/>
        <w:overflowPunct/>
        <w:topLinePunct w:val="0"/>
        <w:autoSpaceDE/>
        <w:autoSpaceDN/>
        <w:bidi w:val="0"/>
        <w:adjustRightInd w:val="0"/>
        <w:snapToGrid w:val="0"/>
        <w:spacing w:line="360" w:lineRule="auto"/>
        <w:ind w:firstLine="444" w:firstLineChars="200"/>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keepNext w:val="0"/>
        <w:keepLines w:val="0"/>
        <w:pageBreakBefore w:val="0"/>
        <w:kinsoku/>
        <w:overflowPunct/>
        <w:topLinePunct w:val="0"/>
        <w:autoSpaceDE/>
        <w:autoSpaceDN/>
        <w:bidi w:val="0"/>
        <w:adjustRightInd w:val="0"/>
        <w:snapToGrid w:val="0"/>
        <w:spacing w:line="360" w:lineRule="auto"/>
        <w:ind w:firstLine="444" w:firstLineChars="200"/>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keepNext w:val="0"/>
        <w:keepLines w:val="0"/>
        <w:pageBreakBefore w:val="0"/>
        <w:kinsoku/>
        <w:overflowPunct/>
        <w:topLinePunct w:val="0"/>
        <w:autoSpaceDE/>
        <w:autoSpaceDN/>
        <w:bidi w:val="0"/>
        <w:adjustRightInd w:val="0"/>
        <w:snapToGrid w:val="0"/>
        <w:spacing w:line="360" w:lineRule="auto"/>
        <w:ind w:firstLine="444" w:firstLineChars="200"/>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keepNext w:val="0"/>
        <w:keepLines w:val="0"/>
        <w:pageBreakBefore w:val="0"/>
        <w:kinsoku/>
        <w:overflowPunct/>
        <w:topLinePunct w:val="0"/>
        <w:autoSpaceDE/>
        <w:autoSpaceDN/>
        <w:bidi w:val="0"/>
        <w:adjustRightInd w:val="0"/>
        <w:snapToGrid w:val="0"/>
        <w:spacing w:line="360" w:lineRule="auto"/>
        <w:ind w:firstLine="444" w:firstLineChars="200"/>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keepNext w:val="0"/>
        <w:keepLines w:val="0"/>
        <w:pageBreakBefore w:val="0"/>
        <w:kinsoku/>
        <w:overflowPunct/>
        <w:topLinePunct w:val="0"/>
        <w:autoSpaceDE/>
        <w:autoSpaceDN/>
        <w:bidi w:val="0"/>
        <w:adjustRightInd w:val="0"/>
        <w:snapToGrid w:val="0"/>
        <w:spacing w:line="360" w:lineRule="auto"/>
        <w:ind w:firstLine="444" w:firstLineChars="200"/>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keepNext w:val="0"/>
        <w:keepLines w:val="0"/>
        <w:pageBreakBefore w:val="0"/>
        <w:kinsoku/>
        <w:overflowPunct/>
        <w:topLinePunct w:val="0"/>
        <w:autoSpaceDE/>
        <w:autoSpaceDN/>
        <w:bidi w:val="0"/>
        <w:adjustRightInd w:val="0"/>
        <w:snapToGrid w:val="0"/>
        <w:spacing w:line="360" w:lineRule="auto"/>
        <w:ind w:firstLine="444" w:firstLineChars="200"/>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keepNext w:val="0"/>
        <w:keepLines w:val="0"/>
        <w:pageBreakBefore w:val="0"/>
        <w:kinsoku/>
        <w:overflowPunct/>
        <w:topLinePunct w:val="0"/>
        <w:autoSpaceDE/>
        <w:autoSpaceDN/>
        <w:bidi w:val="0"/>
        <w:adjustRightInd w:val="0"/>
        <w:snapToGrid w:val="0"/>
        <w:spacing w:line="360" w:lineRule="auto"/>
        <w:ind w:firstLine="444" w:firstLineChars="200"/>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keepNext w:val="0"/>
        <w:keepLines w:val="0"/>
        <w:pageBreakBefore w:val="0"/>
        <w:kinsoku/>
        <w:overflowPunct/>
        <w:topLinePunct w:val="0"/>
        <w:autoSpaceDE/>
        <w:autoSpaceDN/>
        <w:bidi w:val="0"/>
        <w:adjustRightInd w:val="0"/>
        <w:snapToGrid w:val="0"/>
        <w:spacing w:line="360" w:lineRule="auto"/>
        <w:ind w:firstLine="444" w:firstLineChars="200"/>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keepNext w:val="0"/>
        <w:keepLines w:val="0"/>
        <w:pageBreakBefore w:val="0"/>
        <w:kinsoku/>
        <w:overflowPunct/>
        <w:topLinePunct w:val="0"/>
        <w:autoSpaceDE/>
        <w:autoSpaceDN/>
        <w:bidi w:val="0"/>
        <w:adjustRightInd w:val="0"/>
        <w:snapToGrid w:val="0"/>
        <w:spacing w:line="360" w:lineRule="auto"/>
        <w:ind w:firstLine="444" w:firstLineChars="200"/>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（十六）其他未列明行业。从业人员300人以下的为中小微型企业。其中，从业人员100人及以上的为中型企业；从业人员10人及以上的为小型企业；从业人员10人以下的为微型企业。</w:t>
      </w:r>
    </w:p>
    <w:p>
      <w:pPr>
        <w:keepNext w:val="0"/>
        <w:keepLines w:val="0"/>
        <w:pageBreakBefore w:val="0"/>
        <w:kinsoku/>
        <w:overflowPunct/>
        <w:topLinePunct w:val="0"/>
        <w:autoSpaceDE/>
        <w:autoSpaceDN/>
        <w:bidi w:val="0"/>
        <w:adjustRightInd w:val="0"/>
        <w:snapToGrid w:val="0"/>
        <w:spacing w:line="360" w:lineRule="auto"/>
        <w:ind w:firstLine="444" w:firstLineChars="200"/>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五、企业类型的划分以统计部门的统计数据为依据。</w:t>
      </w:r>
    </w:p>
    <w:p>
      <w:pPr>
        <w:keepNext w:val="0"/>
        <w:keepLines w:val="0"/>
        <w:pageBreakBefore w:val="0"/>
        <w:kinsoku/>
        <w:overflowPunct/>
        <w:topLinePunct w:val="0"/>
        <w:autoSpaceDE/>
        <w:autoSpaceDN/>
        <w:bidi w:val="0"/>
        <w:adjustRightInd w:val="0"/>
        <w:snapToGrid w:val="0"/>
        <w:spacing w:line="360" w:lineRule="auto"/>
        <w:ind w:firstLine="444" w:firstLineChars="200"/>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六、本规定适用于在中华人民共和国境内依法设立的各类所有制和各种组织形式的企业。个体工商户和本规定以外的行业，参照本规定进行划型。</w:t>
      </w:r>
    </w:p>
    <w:p>
      <w:pPr>
        <w:keepNext w:val="0"/>
        <w:keepLines w:val="0"/>
        <w:pageBreakBefore w:val="0"/>
        <w:kinsoku/>
        <w:overflowPunct/>
        <w:topLinePunct w:val="0"/>
        <w:autoSpaceDE/>
        <w:autoSpaceDN/>
        <w:bidi w:val="0"/>
        <w:adjustRightInd w:val="0"/>
        <w:snapToGrid w:val="0"/>
        <w:spacing w:line="360" w:lineRule="auto"/>
        <w:ind w:firstLine="444" w:firstLineChars="200"/>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七、本规定的中型企业标准上限即为大型企业标准的下限，国家统计部门据此制定大中小微型企业的统计分类。国务院有关部门据此进行相关数据分析，不得制定与本规定不一致的企业划型标准。</w:t>
      </w:r>
    </w:p>
    <w:p>
      <w:pPr>
        <w:keepNext w:val="0"/>
        <w:keepLines w:val="0"/>
        <w:pageBreakBefore w:val="0"/>
        <w:kinsoku/>
        <w:overflowPunct/>
        <w:topLinePunct w:val="0"/>
        <w:autoSpaceDE/>
        <w:autoSpaceDN/>
        <w:bidi w:val="0"/>
        <w:adjustRightInd w:val="0"/>
        <w:snapToGrid w:val="0"/>
        <w:spacing w:line="360" w:lineRule="auto"/>
        <w:ind w:firstLine="444" w:firstLineChars="200"/>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八、本规定由工业和信息化部、国家统计局会同有关部门根据《国民经济行业分类》修订情况和企业发展变化情况适时修订。</w:t>
      </w:r>
    </w:p>
    <w:p>
      <w:pPr>
        <w:keepNext w:val="0"/>
        <w:keepLines w:val="0"/>
        <w:pageBreakBefore w:val="0"/>
        <w:kinsoku/>
        <w:overflowPunct/>
        <w:topLinePunct w:val="0"/>
        <w:autoSpaceDE/>
        <w:autoSpaceDN/>
        <w:bidi w:val="0"/>
        <w:adjustRightInd w:val="0"/>
        <w:snapToGrid w:val="0"/>
        <w:spacing w:line="360" w:lineRule="auto"/>
        <w:ind w:firstLine="444" w:firstLineChars="200"/>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九、本规定由工业和信息化部、国家统计局会同有关部门负责解释。</w:t>
      </w:r>
    </w:p>
    <w:p>
      <w:pPr>
        <w:keepNext w:val="0"/>
        <w:keepLines w:val="0"/>
        <w:pageBreakBefore w:val="0"/>
        <w:kinsoku/>
        <w:overflowPunct/>
        <w:topLinePunct w:val="0"/>
        <w:autoSpaceDE/>
        <w:autoSpaceDN/>
        <w:bidi w:val="0"/>
        <w:adjustRightInd w:val="0"/>
        <w:snapToGrid w:val="0"/>
        <w:spacing w:line="360" w:lineRule="auto"/>
        <w:ind w:firstLine="444" w:firstLineChars="200"/>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十、本规定自发布之日起执行，原国家经贸委、原国家计委、财政部和国家统计局2003年颁布的《中小企业标准暂行规定》同时废止。</w:t>
      </w:r>
    </w:p>
    <w:p>
      <w:pPr>
        <w:pStyle w:val="3"/>
        <w:rPr>
          <w:rStyle w:val="9"/>
          <w:rFonts w:cs="Times New Roman"/>
          <w:b/>
          <w:bCs/>
          <w:highlight w:val="none"/>
          <w:lang w:val="zh-CN"/>
        </w:rPr>
      </w:pPr>
      <w:r>
        <w:rPr>
          <w:rFonts w:hint="eastAsia"/>
          <w:highlight w:val="none"/>
          <w:lang w:val="en-US" w:eastAsia="zh-CN"/>
        </w:rPr>
        <w:br w:type="page"/>
      </w:r>
      <w:r>
        <w:rPr>
          <w:rStyle w:val="9"/>
          <w:rFonts w:cs="Times New Roman"/>
          <w:b/>
          <w:bCs/>
          <w:highlight w:val="none"/>
          <w:lang w:val="zh-CN"/>
        </w:rPr>
        <w:t>附件3：国家统计局关于印发《统计上大中小微型企业划分办法（2017）》的通知</w:t>
      </w:r>
    </w:p>
    <w:p>
      <w:pPr>
        <w:keepNext w:val="0"/>
        <w:keepLines w:val="0"/>
        <w:pageBreakBefore w:val="0"/>
        <w:kinsoku/>
        <w:overflowPunct/>
        <w:topLinePunct w:val="0"/>
        <w:autoSpaceDE/>
        <w:autoSpaceDN/>
        <w:bidi w:val="0"/>
        <w:adjustRightInd w:val="0"/>
        <w:snapToGrid w:val="0"/>
        <w:spacing w:line="360" w:lineRule="auto"/>
        <w:ind w:firstLine="444" w:firstLineChars="200"/>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各省、自治区、直辖市统计局，新疆生产建设兵团统计局，国务院各有关部门，国家统计局各调查总队：</w:t>
      </w:r>
    </w:p>
    <w:p>
      <w:pPr>
        <w:keepNext w:val="0"/>
        <w:keepLines w:val="0"/>
        <w:pageBreakBefore w:val="0"/>
        <w:kinsoku/>
        <w:overflowPunct/>
        <w:topLinePunct w:val="0"/>
        <w:autoSpaceDE/>
        <w:autoSpaceDN/>
        <w:bidi w:val="0"/>
        <w:adjustRightInd w:val="0"/>
        <w:snapToGrid w:val="0"/>
        <w:spacing w:line="360" w:lineRule="auto"/>
        <w:ind w:firstLine="444" w:firstLineChars="200"/>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 《国民经济行业分类》（GB/T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keepNext w:val="0"/>
        <w:keepLines w:val="0"/>
        <w:pageBreakBefore w:val="0"/>
        <w:kinsoku/>
        <w:overflowPunct/>
        <w:topLinePunct w:val="0"/>
        <w:autoSpaceDE/>
        <w:autoSpaceDN/>
        <w:bidi w:val="0"/>
        <w:adjustRightInd w:val="0"/>
        <w:snapToGrid w:val="0"/>
        <w:spacing w:line="360" w:lineRule="auto"/>
        <w:ind w:firstLine="444" w:firstLineChars="200"/>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 附件：《统计上大中小微型企业划分办法（2017）》修订说明 </w:t>
      </w:r>
    </w:p>
    <w:p>
      <w:pPr>
        <w:keepNext w:val="0"/>
        <w:keepLines w:val="0"/>
        <w:pageBreakBefore w:val="0"/>
        <w:kinsoku/>
        <w:overflowPunct/>
        <w:topLinePunct w:val="0"/>
        <w:autoSpaceDE/>
        <w:autoSpaceDN/>
        <w:bidi w:val="0"/>
        <w:adjustRightInd w:val="0"/>
        <w:snapToGrid w:val="0"/>
        <w:spacing w:line="360" w:lineRule="auto"/>
        <w:ind w:firstLine="444" w:firstLineChars="200"/>
        <w:jc w:val="right"/>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国家统计局  </w:t>
      </w:r>
    </w:p>
    <w:p>
      <w:pPr>
        <w:keepNext w:val="0"/>
        <w:keepLines w:val="0"/>
        <w:pageBreakBefore w:val="0"/>
        <w:kinsoku/>
        <w:overflowPunct/>
        <w:topLinePunct w:val="0"/>
        <w:autoSpaceDE/>
        <w:autoSpaceDN/>
        <w:bidi w:val="0"/>
        <w:adjustRightInd w:val="0"/>
        <w:snapToGrid w:val="0"/>
        <w:spacing w:line="360" w:lineRule="auto"/>
        <w:ind w:firstLine="444" w:firstLineChars="200"/>
        <w:jc w:val="right"/>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2017年12月28日</w:t>
      </w:r>
    </w:p>
    <w:p>
      <w:pPr>
        <w:keepNext w:val="0"/>
        <w:keepLines w:val="0"/>
        <w:pageBreakBefore w:val="0"/>
        <w:kinsoku/>
        <w:overflowPunct/>
        <w:topLinePunct w:val="0"/>
        <w:autoSpaceDE/>
        <w:autoSpaceDN/>
        <w:bidi w:val="0"/>
        <w:adjustRightInd w:val="0"/>
        <w:snapToGrid w:val="0"/>
        <w:spacing w:line="360" w:lineRule="auto"/>
        <w:ind w:firstLine="506" w:firstLineChars="200"/>
        <w:jc w:val="center"/>
        <w:textAlignment w:val="auto"/>
        <w:rPr>
          <w:rFonts w:hint="eastAsia" w:ascii="宋体" w:hAnsi="宋体" w:eastAsia="宋体" w:cs="宋体"/>
          <w:b/>
          <w:bCs/>
          <w:color w:val="auto"/>
          <w:spacing w:val="6"/>
          <w:sz w:val="24"/>
          <w:szCs w:val="24"/>
          <w:highlight w:val="none"/>
          <w:lang w:val="en-US" w:eastAsia="zh-CN"/>
        </w:rPr>
      </w:pPr>
      <w:r>
        <w:rPr>
          <w:rFonts w:hint="eastAsia" w:ascii="宋体" w:hAnsi="宋体" w:eastAsia="宋体" w:cs="宋体"/>
          <w:b/>
          <w:bCs/>
          <w:color w:val="auto"/>
          <w:spacing w:val="6"/>
          <w:sz w:val="24"/>
          <w:szCs w:val="24"/>
          <w:highlight w:val="none"/>
          <w:lang w:val="en-US" w:eastAsia="zh-CN"/>
        </w:rPr>
        <w:t>统计上大中小微型企业划分办法（2017）</w:t>
      </w:r>
    </w:p>
    <w:p>
      <w:pPr>
        <w:keepNext w:val="0"/>
        <w:keepLines w:val="0"/>
        <w:pageBreakBefore w:val="0"/>
        <w:kinsoku/>
        <w:overflowPunct/>
        <w:topLinePunct w:val="0"/>
        <w:autoSpaceDE/>
        <w:autoSpaceDN/>
        <w:bidi w:val="0"/>
        <w:adjustRightInd w:val="0"/>
        <w:snapToGrid w:val="0"/>
        <w:spacing w:line="360" w:lineRule="auto"/>
        <w:ind w:firstLine="504" w:firstLineChars="200"/>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4"/>
          <w:szCs w:val="24"/>
          <w:highlight w:val="none"/>
          <w:lang w:val="en-US" w:eastAsia="zh-CN"/>
        </w:rPr>
        <w:t>　</w:t>
      </w:r>
      <w:r>
        <w:rPr>
          <w:rFonts w:hint="eastAsia" w:ascii="宋体" w:hAnsi="宋体" w:eastAsia="宋体" w:cs="宋体"/>
          <w:color w:val="auto"/>
          <w:spacing w:val="6"/>
          <w:sz w:val="21"/>
          <w:szCs w:val="21"/>
          <w:highlight w:val="none"/>
          <w:lang w:val="en-US" w:eastAsia="zh-CN"/>
        </w:rPr>
        <w:t>　一、根据工业和信息化部、国家统计局、国家发展改革委、财政部《关于印发中小企业划型标准规定的通知》（工信部联企业〔2011〕300号），以《国民经济行业分类》（GB/T4754-2017）为基础，结合统计工作的实际情况，制定本办法。</w:t>
      </w:r>
    </w:p>
    <w:p>
      <w:pPr>
        <w:keepNext w:val="0"/>
        <w:keepLines w:val="0"/>
        <w:pageBreakBefore w:val="0"/>
        <w:kinsoku/>
        <w:overflowPunct/>
        <w:topLinePunct w:val="0"/>
        <w:autoSpaceDE/>
        <w:autoSpaceDN/>
        <w:bidi w:val="0"/>
        <w:adjustRightInd w:val="0"/>
        <w:snapToGrid w:val="0"/>
        <w:spacing w:line="360" w:lineRule="auto"/>
        <w:ind w:firstLine="444" w:firstLineChars="200"/>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　　二、本办法适用对象为在中华人民共和国境内依法设立的各种组织形式的法人企业或单位。个体工商户参照本办法进行划分。</w:t>
      </w:r>
    </w:p>
    <w:p>
      <w:pPr>
        <w:keepNext w:val="0"/>
        <w:keepLines w:val="0"/>
        <w:pageBreakBefore w:val="0"/>
        <w:kinsoku/>
        <w:overflowPunct/>
        <w:topLinePunct w:val="0"/>
        <w:autoSpaceDE/>
        <w:autoSpaceDN/>
        <w:bidi w:val="0"/>
        <w:adjustRightInd w:val="0"/>
        <w:snapToGrid w:val="0"/>
        <w:spacing w:line="360" w:lineRule="auto"/>
        <w:ind w:firstLine="444" w:firstLineChars="200"/>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　　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keepNext w:val="0"/>
        <w:keepLines w:val="0"/>
        <w:pageBreakBefore w:val="0"/>
        <w:kinsoku/>
        <w:overflowPunct/>
        <w:topLinePunct w:val="0"/>
        <w:autoSpaceDE/>
        <w:autoSpaceDN/>
        <w:bidi w:val="0"/>
        <w:adjustRightInd w:val="0"/>
        <w:snapToGrid w:val="0"/>
        <w:spacing w:line="360" w:lineRule="auto"/>
        <w:ind w:firstLine="444" w:firstLineChars="200"/>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　　四、本办法按照行业门类、大类、中类和组合类别，依据从业人员、营业收入、资产总额等指标或替代指标，将我国的企业划分为大型、中型、小型、微型等四种类型。具体划分标准见附表。</w:t>
      </w:r>
    </w:p>
    <w:p>
      <w:pPr>
        <w:keepNext w:val="0"/>
        <w:keepLines w:val="0"/>
        <w:pageBreakBefore w:val="0"/>
        <w:kinsoku/>
        <w:overflowPunct/>
        <w:topLinePunct w:val="0"/>
        <w:autoSpaceDE/>
        <w:autoSpaceDN/>
        <w:bidi w:val="0"/>
        <w:adjustRightInd w:val="0"/>
        <w:snapToGrid w:val="0"/>
        <w:spacing w:line="360" w:lineRule="auto"/>
        <w:ind w:firstLine="444" w:firstLineChars="200"/>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　　五、企业划分由政府综合统计部门根据统计年报每年确定一次，定报统计原则上不进行调整。</w:t>
      </w:r>
    </w:p>
    <w:p>
      <w:pPr>
        <w:keepNext w:val="0"/>
        <w:keepLines w:val="0"/>
        <w:pageBreakBefore w:val="0"/>
        <w:kinsoku/>
        <w:overflowPunct/>
        <w:topLinePunct w:val="0"/>
        <w:autoSpaceDE/>
        <w:autoSpaceDN/>
        <w:bidi w:val="0"/>
        <w:adjustRightInd w:val="0"/>
        <w:snapToGrid w:val="0"/>
        <w:spacing w:line="360" w:lineRule="auto"/>
        <w:ind w:firstLine="444" w:firstLineChars="200"/>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　　六、本办法自印发之日起执行，国家统计局2011年印发的《统计上大中小微型企业划分办法》（国统字〔2011〕75号）同时废止。</w:t>
      </w:r>
    </w:p>
    <w:p>
      <w:pPr>
        <w:keepNext w:val="0"/>
        <w:keepLines w:val="0"/>
        <w:pageBreakBefore w:val="0"/>
        <w:kinsoku/>
        <w:overflowPunct/>
        <w:topLinePunct w:val="0"/>
        <w:autoSpaceDE/>
        <w:autoSpaceDN/>
        <w:bidi w:val="0"/>
        <w:adjustRightInd w:val="0"/>
        <w:snapToGrid w:val="0"/>
        <w:spacing w:line="360" w:lineRule="auto"/>
        <w:ind w:firstLine="446" w:firstLineChars="200"/>
        <w:jc w:val="center"/>
        <w:textAlignment w:val="auto"/>
        <w:rPr>
          <w:rFonts w:hint="eastAsia" w:ascii="宋体" w:hAnsi="宋体" w:eastAsia="宋体" w:cs="宋体"/>
          <w:b/>
          <w:bCs/>
          <w:color w:val="auto"/>
          <w:spacing w:val="6"/>
          <w:sz w:val="21"/>
          <w:szCs w:val="21"/>
          <w:highlight w:val="none"/>
          <w:lang w:val="en-US" w:eastAsia="zh-CN"/>
        </w:rPr>
      </w:pPr>
      <w:r>
        <w:rPr>
          <w:rFonts w:hint="eastAsia" w:ascii="宋体" w:hAnsi="宋体" w:eastAsia="宋体" w:cs="宋体"/>
          <w:b/>
          <w:bCs/>
          <w:color w:val="auto"/>
          <w:spacing w:val="6"/>
          <w:sz w:val="21"/>
          <w:szCs w:val="21"/>
          <w:highlight w:val="none"/>
          <w:lang w:val="en-US" w:eastAsia="zh-CN"/>
        </w:rPr>
        <w:t>附表：统计上大中小微型企业划分标准</w:t>
      </w:r>
    </w:p>
    <w:tbl>
      <w:tblPr>
        <w:tblStyle w:val="6"/>
        <w:tblW w:w="94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3"/>
        <w:gridCol w:w="1369"/>
        <w:gridCol w:w="827"/>
        <w:gridCol w:w="1007"/>
        <w:gridCol w:w="1701"/>
        <w:gridCol w:w="1426"/>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exact"/>
          <w:jc w:val="center"/>
        </w:trPr>
        <w:tc>
          <w:tcPr>
            <w:tcW w:w="21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行业名称</w:t>
            </w:r>
          </w:p>
        </w:tc>
        <w:tc>
          <w:tcPr>
            <w:tcW w:w="1369"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指标名称</w:t>
            </w:r>
          </w:p>
        </w:tc>
        <w:tc>
          <w:tcPr>
            <w:tcW w:w="827"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计量</w:t>
            </w:r>
            <w:r>
              <w:rPr>
                <w:rFonts w:hint="eastAsia" w:ascii="宋体" w:hAnsi="宋体" w:eastAsia="宋体" w:cs="宋体"/>
                <w:b/>
                <w:bCs/>
                <w:color w:val="auto"/>
                <w:kern w:val="0"/>
                <w:sz w:val="21"/>
                <w:szCs w:val="21"/>
                <w:highlight w:val="none"/>
              </w:rPr>
              <w:br w:type="textWrapping"/>
            </w:r>
            <w:r>
              <w:rPr>
                <w:rFonts w:hint="eastAsia" w:ascii="宋体" w:hAnsi="宋体" w:eastAsia="宋体" w:cs="宋体"/>
                <w:b/>
                <w:bCs/>
                <w:color w:val="auto"/>
                <w:kern w:val="0"/>
                <w:sz w:val="21"/>
                <w:szCs w:val="21"/>
                <w:highlight w:val="none"/>
              </w:rPr>
              <w:t>单位</w:t>
            </w:r>
          </w:p>
        </w:tc>
        <w:tc>
          <w:tcPr>
            <w:tcW w:w="1007"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大型</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中型</w:t>
            </w:r>
          </w:p>
        </w:tc>
        <w:tc>
          <w:tcPr>
            <w:tcW w:w="1426"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小型</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农、林、牧、渔业</w:t>
            </w:r>
          </w:p>
        </w:tc>
        <w:tc>
          <w:tcPr>
            <w:tcW w:w="1369"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营业收入(Y)</w:t>
            </w:r>
          </w:p>
        </w:tc>
        <w:tc>
          <w:tcPr>
            <w:tcW w:w="827"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万元</w:t>
            </w:r>
          </w:p>
        </w:tc>
        <w:tc>
          <w:tcPr>
            <w:tcW w:w="1007"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Y≥20000</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500≤Y＜20000</w:t>
            </w:r>
          </w:p>
        </w:tc>
        <w:tc>
          <w:tcPr>
            <w:tcW w:w="1426"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50≤Y＜500</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工业 *</w:t>
            </w:r>
          </w:p>
        </w:tc>
        <w:tc>
          <w:tcPr>
            <w:tcW w:w="1369"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从业人员(X)</w:t>
            </w:r>
          </w:p>
        </w:tc>
        <w:tc>
          <w:tcPr>
            <w:tcW w:w="827"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人</w:t>
            </w:r>
          </w:p>
        </w:tc>
        <w:tc>
          <w:tcPr>
            <w:tcW w:w="1007"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X≥1000</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300≤X＜1000</w:t>
            </w:r>
          </w:p>
        </w:tc>
        <w:tc>
          <w:tcPr>
            <w:tcW w:w="1426"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20≤X＜300</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p>
        </w:tc>
        <w:tc>
          <w:tcPr>
            <w:tcW w:w="1369"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营业收入(Y)</w:t>
            </w:r>
          </w:p>
        </w:tc>
        <w:tc>
          <w:tcPr>
            <w:tcW w:w="827"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万元</w:t>
            </w:r>
          </w:p>
        </w:tc>
        <w:tc>
          <w:tcPr>
            <w:tcW w:w="1007"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Y≥40000</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2000≤Y＜40000</w:t>
            </w:r>
          </w:p>
        </w:tc>
        <w:tc>
          <w:tcPr>
            <w:tcW w:w="1426"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300≤Y＜2000</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建筑业</w:t>
            </w:r>
          </w:p>
        </w:tc>
        <w:tc>
          <w:tcPr>
            <w:tcW w:w="1369"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营业收入(Y)</w:t>
            </w:r>
          </w:p>
        </w:tc>
        <w:tc>
          <w:tcPr>
            <w:tcW w:w="827"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万元</w:t>
            </w:r>
          </w:p>
        </w:tc>
        <w:tc>
          <w:tcPr>
            <w:tcW w:w="1007"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Y≥80000</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6000≤Y＜80000</w:t>
            </w:r>
          </w:p>
        </w:tc>
        <w:tc>
          <w:tcPr>
            <w:tcW w:w="1426"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300≤Y＜6000</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p>
        </w:tc>
        <w:tc>
          <w:tcPr>
            <w:tcW w:w="1369"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资产总额(Z)</w:t>
            </w:r>
          </w:p>
        </w:tc>
        <w:tc>
          <w:tcPr>
            <w:tcW w:w="827"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万元</w:t>
            </w:r>
          </w:p>
        </w:tc>
        <w:tc>
          <w:tcPr>
            <w:tcW w:w="1007"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Z≥80000</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5000≤Z＜80000</w:t>
            </w:r>
          </w:p>
        </w:tc>
        <w:tc>
          <w:tcPr>
            <w:tcW w:w="1426"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300≤Z＜5000</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批发业</w:t>
            </w:r>
          </w:p>
        </w:tc>
        <w:tc>
          <w:tcPr>
            <w:tcW w:w="1369"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从业人员(X)</w:t>
            </w:r>
          </w:p>
        </w:tc>
        <w:tc>
          <w:tcPr>
            <w:tcW w:w="827"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人</w:t>
            </w:r>
          </w:p>
        </w:tc>
        <w:tc>
          <w:tcPr>
            <w:tcW w:w="1007"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X≥200</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20≤X＜200</w:t>
            </w:r>
          </w:p>
        </w:tc>
        <w:tc>
          <w:tcPr>
            <w:tcW w:w="1426"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5≤X＜20</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p>
        </w:tc>
        <w:tc>
          <w:tcPr>
            <w:tcW w:w="1369"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营业收入(Y)</w:t>
            </w:r>
          </w:p>
        </w:tc>
        <w:tc>
          <w:tcPr>
            <w:tcW w:w="827"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万元</w:t>
            </w:r>
          </w:p>
        </w:tc>
        <w:tc>
          <w:tcPr>
            <w:tcW w:w="1007"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Y≥40000</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5000≤Y＜40000</w:t>
            </w:r>
          </w:p>
        </w:tc>
        <w:tc>
          <w:tcPr>
            <w:tcW w:w="1426"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1" w:leftChars="-1" w:hanging="1"/>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1000≤Y＜5000</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零售业</w:t>
            </w:r>
          </w:p>
        </w:tc>
        <w:tc>
          <w:tcPr>
            <w:tcW w:w="1369"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从业人员(X)</w:t>
            </w:r>
          </w:p>
        </w:tc>
        <w:tc>
          <w:tcPr>
            <w:tcW w:w="827"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人</w:t>
            </w:r>
          </w:p>
        </w:tc>
        <w:tc>
          <w:tcPr>
            <w:tcW w:w="1007"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X≥300</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50≤X＜300</w:t>
            </w:r>
          </w:p>
        </w:tc>
        <w:tc>
          <w:tcPr>
            <w:tcW w:w="1426"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1" w:leftChars="-1" w:hanging="1"/>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10≤X＜50</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p>
        </w:tc>
        <w:tc>
          <w:tcPr>
            <w:tcW w:w="1369"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营业收入(Y)</w:t>
            </w:r>
          </w:p>
        </w:tc>
        <w:tc>
          <w:tcPr>
            <w:tcW w:w="827"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万元</w:t>
            </w:r>
          </w:p>
        </w:tc>
        <w:tc>
          <w:tcPr>
            <w:tcW w:w="1007"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Y≥20000</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500≤Y＜20000</w:t>
            </w:r>
          </w:p>
        </w:tc>
        <w:tc>
          <w:tcPr>
            <w:tcW w:w="1426"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1" w:leftChars="-1" w:hanging="1"/>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100≤Y＜500</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交通运输业 *</w:t>
            </w:r>
          </w:p>
        </w:tc>
        <w:tc>
          <w:tcPr>
            <w:tcW w:w="1369"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从业人员(X)</w:t>
            </w:r>
          </w:p>
        </w:tc>
        <w:tc>
          <w:tcPr>
            <w:tcW w:w="827"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人</w:t>
            </w:r>
          </w:p>
        </w:tc>
        <w:tc>
          <w:tcPr>
            <w:tcW w:w="1007"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X≥1000</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300≤X＜1000</w:t>
            </w:r>
          </w:p>
        </w:tc>
        <w:tc>
          <w:tcPr>
            <w:tcW w:w="1426"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20≤X＜300</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p>
        </w:tc>
        <w:tc>
          <w:tcPr>
            <w:tcW w:w="1369"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营业收入(Y)</w:t>
            </w:r>
          </w:p>
        </w:tc>
        <w:tc>
          <w:tcPr>
            <w:tcW w:w="827"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万元</w:t>
            </w:r>
          </w:p>
        </w:tc>
        <w:tc>
          <w:tcPr>
            <w:tcW w:w="1007"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Y≥30000</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3000≤Y＜30000</w:t>
            </w:r>
          </w:p>
        </w:tc>
        <w:tc>
          <w:tcPr>
            <w:tcW w:w="1426"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200≤Y＜3000</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仓储业*</w:t>
            </w:r>
          </w:p>
        </w:tc>
        <w:tc>
          <w:tcPr>
            <w:tcW w:w="1369"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从业人员(X)</w:t>
            </w:r>
          </w:p>
        </w:tc>
        <w:tc>
          <w:tcPr>
            <w:tcW w:w="827"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人</w:t>
            </w:r>
          </w:p>
        </w:tc>
        <w:tc>
          <w:tcPr>
            <w:tcW w:w="1007"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X≥200</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19" w:leftChars="-51" w:hanging="126" w:hangingChars="6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100≤X＜200</w:t>
            </w:r>
          </w:p>
        </w:tc>
        <w:tc>
          <w:tcPr>
            <w:tcW w:w="1426"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20≤X＜100</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p>
        </w:tc>
        <w:tc>
          <w:tcPr>
            <w:tcW w:w="1369"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营业收入(Y)</w:t>
            </w:r>
          </w:p>
        </w:tc>
        <w:tc>
          <w:tcPr>
            <w:tcW w:w="827"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万元</w:t>
            </w:r>
          </w:p>
        </w:tc>
        <w:tc>
          <w:tcPr>
            <w:tcW w:w="1007"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Y≥30000</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1000≤Y＜30000</w:t>
            </w:r>
          </w:p>
        </w:tc>
        <w:tc>
          <w:tcPr>
            <w:tcW w:w="1426"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100≤Y＜1000</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邮政业</w:t>
            </w:r>
          </w:p>
        </w:tc>
        <w:tc>
          <w:tcPr>
            <w:tcW w:w="1369"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从业人员(X)</w:t>
            </w:r>
          </w:p>
        </w:tc>
        <w:tc>
          <w:tcPr>
            <w:tcW w:w="827"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人</w:t>
            </w:r>
          </w:p>
        </w:tc>
        <w:tc>
          <w:tcPr>
            <w:tcW w:w="1007"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X≥1000</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300≤X＜1000</w:t>
            </w:r>
          </w:p>
        </w:tc>
        <w:tc>
          <w:tcPr>
            <w:tcW w:w="1426"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20≤X＜300</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p>
        </w:tc>
        <w:tc>
          <w:tcPr>
            <w:tcW w:w="1369"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营业收入(Y)</w:t>
            </w:r>
          </w:p>
        </w:tc>
        <w:tc>
          <w:tcPr>
            <w:tcW w:w="827"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万元</w:t>
            </w:r>
          </w:p>
        </w:tc>
        <w:tc>
          <w:tcPr>
            <w:tcW w:w="1007"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Y≥30000</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2000≤Y＜30000</w:t>
            </w:r>
          </w:p>
        </w:tc>
        <w:tc>
          <w:tcPr>
            <w:tcW w:w="1426"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100≤Y＜2000</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住宿业</w:t>
            </w:r>
          </w:p>
        </w:tc>
        <w:tc>
          <w:tcPr>
            <w:tcW w:w="1369"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从业人员(X)</w:t>
            </w:r>
          </w:p>
        </w:tc>
        <w:tc>
          <w:tcPr>
            <w:tcW w:w="827"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人</w:t>
            </w:r>
          </w:p>
        </w:tc>
        <w:tc>
          <w:tcPr>
            <w:tcW w:w="1007"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X≥300</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19" w:leftChars="-51" w:hanging="126" w:hangingChars="6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100≤X＜300</w:t>
            </w:r>
          </w:p>
        </w:tc>
        <w:tc>
          <w:tcPr>
            <w:tcW w:w="1426"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10≤X＜100</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p>
        </w:tc>
        <w:tc>
          <w:tcPr>
            <w:tcW w:w="1369"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营业收入(Y)</w:t>
            </w:r>
          </w:p>
        </w:tc>
        <w:tc>
          <w:tcPr>
            <w:tcW w:w="827"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万元</w:t>
            </w:r>
          </w:p>
        </w:tc>
        <w:tc>
          <w:tcPr>
            <w:tcW w:w="1007"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Y≥10000</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2000≤Y＜10000</w:t>
            </w:r>
          </w:p>
        </w:tc>
        <w:tc>
          <w:tcPr>
            <w:tcW w:w="1426"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100≤Y＜2000</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餐饮业</w:t>
            </w:r>
          </w:p>
        </w:tc>
        <w:tc>
          <w:tcPr>
            <w:tcW w:w="1369"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从业人员(X)</w:t>
            </w:r>
          </w:p>
        </w:tc>
        <w:tc>
          <w:tcPr>
            <w:tcW w:w="827"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人</w:t>
            </w:r>
          </w:p>
        </w:tc>
        <w:tc>
          <w:tcPr>
            <w:tcW w:w="1007"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X≥300</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19" w:leftChars="-51" w:hanging="126" w:hangingChars="6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100≤X＜300</w:t>
            </w:r>
          </w:p>
        </w:tc>
        <w:tc>
          <w:tcPr>
            <w:tcW w:w="1426"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10≤X＜100</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p>
        </w:tc>
        <w:tc>
          <w:tcPr>
            <w:tcW w:w="1369"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营业收入(Y)</w:t>
            </w:r>
          </w:p>
        </w:tc>
        <w:tc>
          <w:tcPr>
            <w:tcW w:w="827"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万元</w:t>
            </w:r>
          </w:p>
        </w:tc>
        <w:tc>
          <w:tcPr>
            <w:tcW w:w="1007"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Y≥10000</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2000≤Y＜10000</w:t>
            </w:r>
          </w:p>
        </w:tc>
        <w:tc>
          <w:tcPr>
            <w:tcW w:w="1426"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100≤Y＜2000</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信息传输业 *</w:t>
            </w:r>
          </w:p>
        </w:tc>
        <w:tc>
          <w:tcPr>
            <w:tcW w:w="1369"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从业人员(X)</w:t>
            </w:r>
          </w:p>
        </w:tc>
        <w:tc>
          <w:tcPr>
            <w:tcW w:w="827"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人</w:t>
            </w:r>
          </w:p>
        </w:tc>
        <w:tc>
          <w:tcPr>
            <w:tcW w:w="1007"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X≥2000</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100≤X＜2000</w:t>
            </w:r>
          </w:p>
        </w:tc>
        <w:tc>
          <w:tcPr>
            <w:tcW w:w="1426"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10≤X＜100</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p>
        </w:tc>
        <w:tc>
          <w:tcPr>
            <w:tcW w:w="1369"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营业收入(Y)</w:t>
            </w:r>
          </w:p>
        </w:tc>
        <w:tc>
          <w:tcPr>
            <w:tcW w:w="827"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万元</w:t>
            </w:r>
          </w:p>
        </w:tc>
        <w:tc>
          <w:tcPr>
            <w:tcW w:w="1007"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Y≥100000</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1000≤Y＜100000</w:t>
            </w:r>
          </w:p>
        </w:tc>
        <w:tc>
          <w:tcPr>
            <w:tcW w:w="1426"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100≤Y＜1000</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pacing w:val="-12"/>
                <w:kern w:val="0"/>
                <w:sz w:val="21"/>
                <w:szCs w:val="21"/>
                <w:highlight w:val="none"/>
              </w:rPr>
            </w:pPr>
            <w:r>
              <w:rPr>
                <w:rFonts w:hint="eastAsia" w:ascii="宋体" w:hAnsi="宋体" w:eastAsia="宋体" w:cs="宋体"/>
                <w:color w:val="auto"/>
                <w:spacing w:val="-12"/>
                <w:kern w:val="0"/>
                <w:sz w:val="21"/>
                <w:szCs w:val="21"/>
                <w:highlight w:val="none"/>
              </w:rPr>
              <w:t>软件和信息技术服</w:t>
            </w:r>
            <w:r>
              <w:rPr>
                <w:rFonts w:hint="eastAsia" w:ascii="宋体" w:hAnsi="宋体" w:eastAsia="宋体" w:cs="宋体"/>
                <w:color w:val="auto"/>
                <w:kern w:val="0"/>
                <w:sz w:val="21"/>
                <w:szCs w:val="21"/>
                <w:highlight w:val="none"/>
              </w:rPr>
              <w:t>务业</w:t>
            </w:r>
          </w:p>
        </w:tc>
        <w:tc>
          <w:tcPr>
            <w:tcW w:w="1369"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从业人员(X)</w:t>
            </w:r>
          </w:p>
        </w:tc>
        <w:tc>
          <w:tcPr>
            <w:tcW w:w="827"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人</w:t>
            </w:r>
          </w:p>
        </w:tc>
        <w:tc>
          <w:tcPr>
            <w:tcW w:w="1007"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X≥300</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19" w:leftChars="-51" w:hanging="126" w:hangingChars="6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100≤X＜300</w:t>
            </w:r>
          </w:p>
        </w:tc>
        <w:tc>
          <w:tcPr>
            <w:tcW w:w="1426"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10≤X＜100</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exact"/>
          <w:jc w:val="center"/>
        </w:trPr>
        <w:tc>
          <w:tcPr>
            <w:tcW w:w="211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pacing w:val="-12"/>
                <w:kern w:val="0"/>
                <w:sz w:val="21"/>
                <w:szCs w:val="21"/>
                <w:highlight w:val="none"/>
              </w:rPr>
            </w:pPr>
          </w:p>
        </w:tc>
        <w:tc>
          <w:tcPr>
            <w:tcW w:w="1369"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营业收入(Y)</w:t>
            </w:r>
          </w:p>
        </w:tc>
        <w:tc>
          <w:tcPr>
            <w:tcW w:w="827"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万元</w:t>
            </w:r>
          </w:p>
        </w:tc>
        <w:tc>
          <w:tcPr>
            <w:tcW w:w="1007"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Y≥10000</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1000≤Y＜10000</w:t>
            </w:r>
          </w:p>
        </w:tc>
        <w:tc>
          <w:tcPr>
            <w:tcW w:w="1426"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50≤Y＜1000</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房地产开发经营</w:t>
            </w:r>
          </w:p>
        </w:tc>
        <w:tc>
          <w:tcPr>
            <w:tcW w:w="1369"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营业收入(Y)</w:t>
            </w:r>
          </w:p>
        </w:tc>
        <w:tc>
          <w:tcPr>
            <w:tcW w:w="827"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万元</w:t>
            </w:r>
          </w:p>
        </w:tc>
        <w:tc>
          <w:tcPr>
            <w:tcW w:w="1007"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Y≥200000</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1000≤Y＜200000</w:t>
            </w:r>
          </w:p>
        </w:tc>
        <w:tc>
          <w:tcPr>
            <w:tcW w:w="1426"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100≤Y＜1000</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p>
        </w:tc>
        <w:tc>
          <w:tcPr>
            <w:tcW w:w="1369"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资产总额(Z)</w:t>
            </w:r>
          </w:p>
        </w:tc>
        <w:tc>
          <w:tcPr>
            <w:tcW w:w="827"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万元</w:t>
            </w:r>
          </w:p>
        </w:tc>
        <w:tc>
          <w:tcPr>
            <w:tcW w:w="1007"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Z≥10000</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5000≤Z＜10000</w:t>
            </w:r>
          </w:p>
        </w:tc>
        <w:tc>
          <w:tcPr>
            <w:tcW w:w="1426"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2000≤Z＜5000</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物业管理</w:t>
            </w:r>
          </w:p>
        </w:tc>
        <w:tc>
          <w:tcPr>
            <w:tcW w:w="1369"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从业人员(X)</w:t>
            </w:r>
          </w:p>
        </w:tc>
        <w:tc>
          <w:tcPr>
            <w:tcW w:w="827"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人</w:t>
            </w:r>
          </w:p>
        </w:tc>
        <w:tc>
          <w:tcPr>
            <w:tcW w:w="1007"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X≥1000</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300≤X＜1000</w:t>
            </w:r>
          </w:p>
        </w:tc>
        <w:tc>
          <w:tcPr>
            <w:tcW w:w="1426"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100≤X＜300</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p>
        </w:tc>
        <w:tc>
          <w:tcPr>
            <w:tcW w:w="1369"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营业收入(Y)</w:t>
            </w:r>
          </w:p>
        </w:tc>
        <w:tc>
          <w:tcPr>
            <w:tcW w:w="827"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万元</w:t>
            </w:r>
          </w:p>
        </w:tc>
        <w:tc>
          <w:tcPr>
            <w:tcW w:w="1007"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Y≥5000</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19" w:leftChars="-51" w:hanging="126" w:hangingChars="6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1000≤Y＜5000</w:t>
            </w:r>
          </w:p>
        </w:tc>
        <w:tc>
          <w:tcPr>
            <w:tcW w:w="1426"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500≤Y＜1000</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租赁和商务服务业</w:t>
            </w:r>
          </w:p>
        </w:tc>
        <w:tc>
          <w:tcPr>
            <w:tcW w:w="1369"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从业人员(X)</w:t>
            </w:r>
          </w:p>
        </w:tc>
        <w:tc>
          <w:tcPr>
            <w:tcW w:w="827"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人</w:t>
            </w:r>
          </w:p>
        </w:tc>
        <w:tc>
          <w:tcPr>
            <w:tcW w:w="1007"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X≥300</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19" w:leftChars="-51" w:hanging="126" w:hangingChars="6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100≤X＜300</w:t>
            </w:r>
          </w:p>
        </w:tc>
        <w:tc>
          <w:tcPr>
            <w:tcW w:w="1426"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10≤X＜100</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exact"/>
          <w:jc w:val="center"/>
        </w:trPr>
        <w:tc>
          <w:tcPr>
            <w:tcW w:w="211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p>
        </w:tc>
        <w:tc>
          <w:tcPr>
            <w:tcW w:w="1369"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资产总额(Z)</w:t>
            </w:r>
          </w:p>
        </w:tc>
        <w:tc>
          <w:tcPr>
            <w:tcW w:w="827"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万元</w:t>
            </w:r>
          </w:p>
        </w:tc>
        <w:tc>
          <w:tcPr>
            <w:tcW w:w="1007"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Z≥120000</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8000≤Z＜120000</w:t>
            </w:r>
          </w:p>
        </w:tc>
        <w:tc>
          <w:tcPr>
            <w:tcW w:w="1426"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100≤Z＜8000</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其他未列明行业 *</w:t>
            </w:r>
          </w:p>
        </w:tc>
        <w:tc>
          <w:tcPr>
            <w:tcW w:w="1369"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从业人员(X)</w:t>
            </w:r>
          </w:p>
        </w:tc>
        <w:tc>
          <w:tcPr>
            <w:tcW w:w="827"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人</w:t>
            </w:r>
          </w:p>
        </w:tc>
        <w:tc>
          <w:tcPr>
            <w:tcW w:w="1007"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X≥300</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19" w:leftChars="-51" w:hanging="126" w:hangingChars="6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100≤X＜300</w:t>
            </w:r>
          </w:p>
        </w:tc>
        <w:tc>
          <w:tcPr>
            <w:tcW w:w="1426"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10≤X＜100</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X＜10</w:t>
            </w:r>
          </w:p>
        </w:tc>
      </w:tr>
    </w:tbl>
    <w:p>
      <w:pPr>
        <w:keepNext w:val="0"/>
        <w:keepLines w:val="0"/>
        <w:pageBreakBefore w:val="0"/>
        <w:kinsoku/>
        <w:overflowPunct/>
        <w:topLinePunct w:val="0"/>
        <w:autoSpaceDE/>
        <w:autoSpaceDN/>
        <w:bidi w:val="0"/>
        <w:adjustRightInd w:val="0"/>
        <w:snapToGrid w:val="0"/>
        <w:spacing w:line="360" w:lineRule="auto"/>
        <w:ind w:firstLine="444" w:firstLineChars="200"/>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说明：</w:t>
      </w:r>
    </w:p>
    <w:p>
      <w:pPr>
        <w:keepNext w:val="0"/>
        <w:keepLines w:val="0"/>
        <w:pageBreakBefore w:val="0"/>
        <w:kinsoku/>
        <w:overflowPunct/>
        <w:topLinePunct w:val="0"/>
        <w:autoSpaceDE/>
        <w:autoSpaceDN/>
        <w:bidi w:val="0"/>
        <w:adjustRightInd w:val="0"/>
        <w:snapToGrid w:val="0"/>
        <w:spacing w:line="360" w:lineRule="auto"/>
        <w:ind w:firstLine="444" w:firstLineChars="200"/>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　　1.大型、中型和小型企业须同时满足所列指标的下限，否则下划一档；微型企业只须满足所列指标中的一项即可。</w:t>
      </w:r>
    </w:p>
    <w:p>
      <w:pPr>
        <w:keepNext w:val="0"/>
        <w:keepLines w:val="0"/>
        <w:pageBreakBefore w:val="0"/>
        <w:kinsoku/>
        <w:overflowPunct/>
        <w:topLinePunct w:val="0"/>
        <w:autoSpaceDE/>
        <w:autoSpaceDN/>
        <w:bidi w:val="0"/>
        <w:adjustRightInd w:val="0"/>
        <w:snapToGrid w:val="0"/>
        <w:spacing w:line="360" w:lineRule="auto"/>
        <w:ind w:firstLine="444" w:firstLineChars="200"/>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　　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keepNext w:val="0"/>
        <w:keepLines w:val="0"/>
        <w:pageBreakBefore w:val="0"/>
        <w:kinsoku/>
        <w:overflowPunct/>
        <w:topLinePunct w:val="0"/>
        <w:autoSpaceDE/>
        <w:autoSpaceDN/>
        <w:bidi w:val="0"/>
        <w:adjustRightInd w:val="0"/>
        <w:snapToGrid w:val="0"/>
        <w:spacing w:line="360" w:lineRule="auto"/>
        <w:ind w:firstLine="444" w:firstLineChars="200"/>
        <w:textAlignment w:val="auto"/>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　　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pStyle w:val="3"/>
        <w:rPr>
          <w:rStyle w:val="9"/>
          <w:rFonts w:cs="Times New Roman"/>
          <w:b/>
          <w:bCs/>
          <w:highlight w:val="none"/>
          <w:lang w:val="zh-CN"/>
        </w:rPr>
      </w:pPr>
      <w:r>
        <w:rPr>
          <w:rFonts w:hint="eastAsia"/>
          <w:highlight w:val="none"/>
          <w:lang w:val="en-US" w:eastAsia="zh-CN"/>
        </w:rPr>
        <w:br w:type="page"/>
      </w:r>
      <w:r>
        <w:rPr>
          <w:rStyle w:val="9"/>
          <w:rFonts w:cs="Times New Roman"/>
          <w:b/>
          <w:bCs/>
          <w:highlight w:val="none"/>
          <w:lang w:val="zh-CN"/>
        </w:rPr>
        <w:t>附件4：关于促进残疾人就业政府采购政策的通知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Autospacing="0" w:after="0" w:afterAutospacing="0" w:line="360" w:lineRule="auto"/>
        <w:ind w:left="0" w:right="0" w:firstLine="420"/>
        <w:jc w:val="left"/>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kern w:val="0"/>
          <w:sz w:val="21"/>
          <w:szCs w:val="21"/>
          <w:highlight w:val="none"/>
          <w:lang w:val="en-US" w:eastAsia="zh-CN" w:bidi="ar"/>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Autospacing="0" w:after="0" w:afterAutospacing="0" w:line="360" w:lineRule="auto"/>
        <w:ind w:left="0" w:right="0" w:firstLine="420"/>
        <w:jc w:val="left"/>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kern w:val="0"/>
          <w:sz w:val="21"/>
          <w:szCs w:val="21"/>
          <w:highlight w:val="none"/>
          <w:lang w:val="en-US" w:eastAsia="zh-CN" w:bidi="ar"/>
        </w:rPr>
        <w:t>为了发挥政府采购促进残疾人就业的作用，进一步保障残疾人权益，依照《政府采购法》、《残疾人保障法》等法律法规及相关规定，现就促进残疾人就业政府采购政策通知如下：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Autospacing="0" w:after="0" w:afterAutospacing="0" w:line="360" w:lineRule="auto"/>
        <w:ind w:left="0" w:right="0" w:firstLine="420"/>
        <w:jc w:val="left"/>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kern w:val="0"/>
          <w:sz w:val="21"/>
          <w:szCs w:val="21"/>
          <w:highlight w:val="none"/>
          <w:lang w:val="en-US" w:eastAsia="zh-CN" w:bidi="ar"/>
        </w:rPr>
        <w:t>一、享受政府采购支持政策的残疾人福利性单位应当同时满足以下条件：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Autospacing="0" w:after="0" w:afterAutospacing="0" w:line="360" w:lineRule="auto"/>
        <w:ind w:left="0" w:right="0" w:firstLine="420"/>
        <w:jc w:val="left"/>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kern w:val="0"/>
          <w:sz w:val="21"/>
          <w:szCs w:val="21"/>
          <w:highlight w:val="none"/>
          <w:lang w:val="en-US" w:eastAsia="zh-CN" w:bidi="ar"/>
        </w:rPr>
        <w:t>(一) 安置的残疾人占本单位在职职工人数的比例不低于25%(含25%)，并且安置的残疾人人数不少于10人(含10人)；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Autospacing="0" w:after="0" w:afterAutospacing="0" w:line="360" w:lineRule="auto"/>
        <w:ind w:left="0" w:right="0" w:firstLine="420"/>
        <w:jc w:val="left"/>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kern w:val="0"/>
          <w:sz w:val="21"/>
          <w:szCs w:val="21"/>
          <w:highlight w:val="none"/>
          <w:lang w:val="en-US" w:eastAsia="zh-CN" w:bidi="ar"/>
        </w:rPr>
        <w:t>(二) 依法与安置的每位残疾人签订了一年以上(含一年)的劳动合同或服务协议；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Autospacing="0" w:after="0" w:afterAutospacing="0" w:line="360" w:lineRule="auto"/>
        <w:ind w:left="0" w:right="0" w:firstLine="420"/>
        <w:jc w:val="left"/>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kern w:val="0"/>
          <w:sz w:val="21"/>
          <w:szCs w:val="21"/>
          <w:highlight w:val="none"/>
          <w:lang w:val="en-US" w:eastAsia="zh-CN" w:bidi="ar"/>
        </w:rPr>
        <w:t>(三) 为安置的每位残疾人按月足额缴纳了基本养老保险、基本医疗保险、失业保险、工伤保险和生育保险等社会保险费；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Autospacing="0" w:after="0" w:afterAutospacing="0" w:line="360" w:lineRule="auto"/>
        <w:ind w:left="0" w:right="0" w:firstLine="420"/>
        <w:jc w:val="left"/>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kern w:val="0"/>
          <w:sz w:val="21"/>
          <w:szCs w:val="21"/>
          <w:highlight w:val="none"/>
          <w:lang w:val="en-US" w:eastAsia="zh-CN" w:bidi="ar"/>
        </w:rPr>
        <w:t>(四) 通过银行等金融机构向安置的每位残疾人，按月支付了不低于单位所在区县适用的经省级人民政府批准的月最低工资标准的工资；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Autospacing="0" w:after="0" w:afterAutospacing="0" w:line="360" w:lineRule="auto"/>
        <w:ind w:left="0" w:right="0" w:firstLine="420"/>
        <w:jc w:val="left"/>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kern w:val="0"/>
          <w:sz w:val="21"/>
          <w:szCs w:val="21"/>
          <w:highlight w:val="none"/>
          <w:lang w:val="en-US" w:eastAsia="zh-CN" w:bidi="ar"/>
        </w:rPr>
        <w:t>(五) 提供本单位制造的货物、承担的工程或者服务(以下简称产品)，或者提供其他残疾人福利性单位制造的货物(不包括使用非残疾人福利性单位注册商标的货物)。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Autospacing="0" w:after="0" w:afterAutospacing="0" w:line="360" w:lineRule="auto"/>
        <w:ind w:left="0" w:right="0" w:firstLine="420"/>
        <w:jc w:val="left"/>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kern w:val="0"/>
          <w:sz w:val="21"/>
          <w:szCs w:val="21"/>
          <w:highlight w:val="none"/>
          <w:lang w:val="en-US" w:eastAsia="zh-CN" w:bidi="ar"/>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Autospacing="0" w:after="0" w:afterAutospacing="0" w:line="360" w:lineRule="auto"/>
        <w:ind w:left="0" w:right="0" w:firstLine="420"/>
        <w:jc w:val="left"/>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kern w:val="0"/>
          <w:sz w:val="21"/>
          <w:szCs w:val="21"/>
          <w:highlight w:val="none"/>
          <w:lang w:val="en-US" w:eastAsia="zh-CN" w:bidi="ar"/>
        </w:rPr>
        <w:t>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Autospacing="0" w:after="0" w:afterAutospacing="0" w:line="360" w:lineRule="auto"/>
        <w:ind w:left="0" w:right="0" w:firstLine="420"/>
        <w:jc w:val="left"/>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kern w:val="0"/>
          <w:sz w:val="21"/>
          <w:szCs w:val="21"/>
          <w:highlight w:val="none"/>
          <w:lang w:val="en-US" w:eastAsia="zh-CN" w:bidi="ar"/>
        </w:rPr>
        <w:t>中标、成交供应商为残疾人福利性单位的，采购人或者其委托的采购代理机构应当随中标、成交结果同时公告其《残疾人福利性单位声明函》，接受社会监督。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Autospacing="0" w:after="0" w:afterAutospacing="0" w:line="360" w:lineRule="auto"/>
        <w:ind w:left="0" w:right="0" w:firstLine="420"/>
        <w:jc w:val="left"/>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kern w:val="0"/>
          <w:sz w:val="21"/>
          <w:szCs w:val="21"/>
          <w:highlight w:val="none"/>
          <w:lang w:val="en-US" w:eastAsia="zh-CN" w:bidi="ar"/>
        </w:rPr>
        <w:t>供应商提供的《残疾人福利性单位声明函》与事实不符的，依照《政府采购法》第七十七条第一款的规定追究法律责任。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Autospacing="0" w:after="0" w:afterAutospacing="0" w:line="360" w:lineRule="auto"/>
        <w:ind w:left="0" w:right="0" w:firstLine="420"/>
        <w:jc w:val="left"/>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kern w:val="0"/>
          <w:sz w:val="21"/>
          <w:szCs w:val="21"/>
          <w:highlight w:val="none"/>
          <w:lang w:val="en-US" w:eastAsia="zh-CN" w:bidi="ar"/>
        </w:rPr>
        <w:t>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Autospacing="0" w:after="0" w:afterAutospacing="0" w:line="360" w:lineRule="auto"/>
        <w:ind w:left="0" w:right="0" w:firstLine="420"/>
        <w:jc w:val="left"/>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kern w:val="0"/>
          <w:sz w:val="21"/>
          <w:szCs w:val="21"/>
          <w:highlight w:val="none"/>
          <w:lang w:val="en-US" w:eastAsia="zh-CN" w:bidi="ar"/>
        </w:rPr>
        <w:t>四、采购人采购公开招标数额标准以上的货物或者服务，因落实促进残疾人就业政策的需要，依法履行有关报批程序后，可采用公开招标以外的采购方式。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Autospacing="0" w:after="0" w:afterAutospacing="0" w:line="360" w:lineRule="auto"/>
        <w:ind w:left="0" w:right="0" w:firstLine="420"/>
        <w:jc w:val="left"/>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kern w:val="0"/>
          <w:sz w:val="21"/>
          <w:szCs w:val="21"/>
          <w:highlight w:val="none"/>
          <w:lang w:val="en-US" w:eastAsia="zh-CN" w:bidi="ar"/>
        </w:rPr>
        <w:t>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Autospacing="0" w:after="0" w:afterAutospacing="0" w:line="360" w:lineRule="auto"/>
        <w:ind w:left="0" w:right="0" w:firstLine="420"/>
        <w:jc w:val="left"/>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kern w:val="0"/>
          <w:sz w:val="21"/>
          <w:szCs w:val="21"/>
          <w:highlight w:val="none"/>
          <w:lang w:val="en-US" w:eastAsia="zh-CN" w:bidi="ar"/>
        </w:rPr>
        <w:t>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Autospacing="0" w:after="0" w:afterAutospacing="0" w:line="360" w:lineRule="auto"/>
        <w:ind w:left="0" w:right="0" w:firstLine="420"/>
        <w:jc w:val="left"/>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kern w:val="0"/>
          <w:sz w:val="21"/>
          <w:szCs w:val="21"/>
          <w:highlight w:val="none"/>
          <w:lang w:val="en-US" w:eastAsia="zh-CN" w:bidi="ar"/>
        </w:rPr>
        <w:t>七、本通知自</w:t>
      </w:r>
      <w:r>
        <w:rPr>
          <w:rStyle w:val="8"/>
          <w:rFonts w:hint="eastAsia" w:ascii="宋体" w:hAnsi="宋体" w:eastAsia="宋体" w:cs="宋体"/>
          <w:i w:val="0"/>
          <w:iCs w:val="0"/>
          <w:caps w:val="0"/>
          <w:color w:val="auto"/>
          <w:spacing w:val="0"/>
          <w:kern w:val="0"/>
          <w:sz w:val="21"/>
          <w:szCs w:val="21"/>
          <w:highlight w:val="none"/>
          <w:lang w:val="en-US" w:eastAsia="zh-CN" w:bidi="ar"/>
        </w:rPr>
        <w:t>2017年10月1日</w:t>
      </w:r>
      <w:r>
        <w:rPr>
          <w:rFonts w:hint="eastAsia" w:ascii="宋体" w:hAnsi="宋体" w:eastAsia="宋体" w:cs="宋体"/>
          <w:i w:val="0"/>
          <w:iCs w:val="0"/>
          <w:caps w:val="0"/>
          <w:color w:val="auto"/>
          <w:spacing w:val="0"/>
          <w:kern w:val="0"/>
          <w:sz w:val="21"/>
          <w:szCs w:val="21"/>
          <w:highlight w:val="none"/>
          <w:lang w:val="en-US" w:eastAsia="zh-CN" w:bidi="ar"/>
        </w:rPr>
        <w:t>起执行。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Autospacing="0" w:after="0" w:afterAutospacing="0" w:line="360" w:lineRule="auto"/>
        <w:ind w:left="0" w:right="0" w:firstLine="420"/>
        <w:jc w:val="right"/>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kern w:val="0"/>
          <w:sz w:val="21"/>
          <w:szCs w:val="21"/>
          <w:highlight w:val="none"/>
          <w:lang w:val="en-US" w:eastAsia="zh-CN" w:bidi="ar"/>
        </w:rPr>
        <w:t>　　财政部 民政部 中国残疾人联合会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Autospacing="0" w:after="0" w:afterAutospacing="0" w:line="360" w:lineRule="auto"/>
        <w:ind w:left="0" w:right="0" w:firstLine="420"/>
        <w:jc w:val="right"/>
        <w:textAlignment w:val="auto"/>
        <w:rPr>
          <w:rFonts w:hint="eastAsia" w:ascii="宋体" w:hAnsi="宋体" w:cs="宋体"/>
          <w:color w:val="auto"/>
          <w:spacing w:val="6"/>
          <w:sz w:val="21"/>
          <w:szCs w:val="21"/>
          <w:highlight w:val="none"/>
          <w:lang w:val="zh-CN"/>
        </w:rPr>
      </w:pPr>
      <w:r>
        <w:rPr>
          <w:rFonts w:hint="eastAsia" w:ascii="宋体" w:hAnsi="宋体" w:eastAsia="宋体" w:cs="宋体"/>
          <w:i w:val="0"/>
          <w:iCs w:val="0"/>
          <w:caps w:val="0"/>
          <w:color w:val="auto"/>
          <w:spacing w:val="0"/>
          <w:kern w:val="0"/>
          <w:sz w:val="21"/>
          <w:szCs w:val="21"/>
          <w:highlight w:val="none"/>
          <w:lang w:val="en-US" w:eastAsia="zh-CN" w:bidi="ar"/>
        </w:rPr>
        <w:t>　　2017年8月22日</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3ZjE0MTQxNzc3YWFjYmEyZWIxYTA0MTE4NTcwYTgifQ=="/>
  </w:docVars>
  <w:rsids>
    <w:rsidRoot w:val="00000000"/>
    <w:rsid w:val="6E0B6D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unhideWhenUsed/>
    <w:qFormat/>
    <w:uiPriority w:val="0"/>
    <w:pPr>
      <w:keepNext/>
      <w:keepLines/>
      <w:spacing w:before="260" w:after="260" w:line="415" w:lineRule="auto"/>
      <w:jc w:val="center"/>
      <w:outlineLvl w:val="1"/>
    </w:pPr>
    <w:rPr>
      <w:rFonts w:ascii="Arial" w:hAnsi="Arial"/>
      <w:b/>
      <w:sz w:val="32"/>
      <w:szCs w:val="32"/>
      <w:lang w:val="zh-CN"/>
    </w:rPr>
  </w:style>
  <w:style w:type="paragraph" w:styleId="4">
    <w:name w:val="heading 4"/>
    <w:basedOn w:val="1"/>
    <w:next w:val="1"/>
    <w:link w:val="9"/>
    <w:unhideWhenUsed/>
    <w:qFormat/>
    <w:uiPriority w:val="0"/>
    <w:pPr>
      <w:keepNext/>
      <w:keepLines/>
      <w:widowControl/>
      <w:spacing w:before="280" w:after="290" w:line="374" w:lineRule="auto"/>
      <w:jc w:val="left"/>
      <w:outlineLvl w:val="3"/>
    </w:pPr>
    <w:rPr>
      <w:rFonts w:ascii="Arial" w:hAnsi="Arial" w:eastAsia="黑体"/>
      <w:b/>
      <w:bCs/>
      <w:kern w:val="0"/>
      <w:sz w:val="28"/>
      <w:szCs w:val="28"/>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5">
    <w:name w:val="Balloon Text"/>
    <w:basedOn w:val="1"/>
    <w:unhideWhenUsed/>
    <w:qFormat/>
    <w:uiPriority w:val="99"/>
    <w:rPr>
      <w:rFonts w:ascii="Calibri" w:hAnsi="Calibri" w:cs="Times New Roman"/>
      <w:sz w:val="18"/>
      <w:szCs w:val="22"/>
    </w:rPr>
  </w:style>
  <w:style w:type="character" w:styleId="8">
    <w:name w:val="Strong"/>
    <w:basedOn w:val="7"/>
    <w:qFormat/>
    <w:uiPriority w:val="22"/>
    <w:rPr>
      <w:b/>
      <w:bCs/>
    </w:rPr>
  </w:style>
  <w:style w:type="character" w:customStyle="1" w:styleId="9">
    <w:name w:val="标题 4 Char1"/>
    <w:link w:val="4"/>
    <w:qFormat/>
    <w:uiPriority w:val="0"/>
    <w:rPr>
      <w:rFonts w:ascii="Arial" w:hAnsi="Arial" w:eastAsia="黑体"/>
      <w:b/>
      <w:bCs/>
      <w:kern w:val="0"/>
      <w:sz w:val="28"/>
      <w:szCs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2022-11-21T09:45:20Z</dcterms:created>
  <dc:creator>Administrator</dc:creator>
  <cp:lastModifiedBy>深圳市正德招标代理有限公司</cp:lastModifiedBy>
  <dcterms:modified xsi:type="dcterms:W3CDTF">2022-11-21T09:46:36Z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0E26B2ED581C48A6892575B4CFE95C28</vt:lpwstr>
  </property>
</Properties>
</file>