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附件：工程</w:t>
      </w:r>
      <w:bookmarkStart w:id="0" w:name="_GoBack"/>
      <w:bookmarkEnd w:id="0"/>
      <w:r>
        <w:rPr>
          <w:rFonts w:hint="eastAsia" w:ascii="宋体" w:hAnsi="宋体" w:eastAsia="宋体"/>
          <w:sz w:val="28"/>
        </w:rPr>
        <w:t>量清单</w:t>
      </w:r>
    </w:p>
    <w:p>
      <w:pPr>
        <w:pStyle w:val="5"/>
        <w:widowControl/>
        <w:spacing w:line="360" w:lineRule="auto"/>
        <w:ind w:left="420" w:firstLine="0" w:firstLineChars="0"/>
        <w:rPr>
          <w:rFonts w:ascii="宋体" w:hAnsi="宋体" w:eastAsia="宋体"/>
          <w:b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表1 光明科学城启动区土建工程一期节能（绿建）检测、</w:t>
      </w:r>
      <w:r>
        <w:rPr>
          <w:rFonts w:ascii="宋体" w:hAnsi="宋体" w:eastAsia="宋体"/>
          <w:b/>
          <w:sz w:val="24"/>
          <w:szCs w:val="21"/>
        </w:rPr>
        <w:t>能效测评</w:t>
      </w:r>
      <w:r>
        <w:rPr>
          <w:rFonts w:hint="eastAsia" w:ascii="宋体" w:hAnsi="宋体" w:eastAsia="宋体"/>
          <w:b/>
          <w:sz w:val="24"/>
          <w:szCs w:val="21"/>
        </w:rPr>
        <w:t>工程量清单</w:t>
      </w:r>
    </w:p>
    <w:tbl>
      <w:tblPr>
        <w:tblStyle w:val="3"/>
        <w:tblW w:w="45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4"/>
        <w:gridCol w:w="1305"/>
        <w:gridCol w:w="2175"/>
        <w:gridCol w:w="1157"/>
        <w:gridCol w:w="1016"/>
        <w:gridCol w:w="1018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39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396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类别</w:t>
            </w:r>
          </w:p>
        </w:tc>
        <w:tc>
          <w:tcPr>
            <w:tcW w:w="71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对象</w:t>
            </w:r>
          </w:p>
        </w:tc>
        <w:tc>
          <w:tcPr>
            <w:tcW w:w="1190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检测内容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检测数量</w:t>
            </w:r>
          </w:p>
        </w:tc>
        <w:tc>
          <w:tcPr>
            <w:tcW w:w="556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单位</w:t>
            </w:r>
          </w:p>
        </w:tc>
        <w:tc>
          <w:tcPr>
            <w:tcW w:w="557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theme="minorBidi"/>
                <w:b/>
                <w:bCs/>
                <w:color w:val="00000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单价（元）</w:t>
            </w:r>
          </w:p>
        </w:tc>
        <w:tc>
          <w:tcPr>
            <w:tcW w:w="557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theme="minorBidi"/>
                <w:b/>
                <w:bCs/>
                <w:color w:val="00000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小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96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节能专项检测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低压配电系统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电压偏差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三相电压不平衡</w:t>
            </w:r>
          </w:p>
        </w:tc>
        <w:tc>
          <w:tcPr>
            <w:tcW w:w="633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谐波电压</w:t>
            </w:r>
          </w:p>
        </w:tc>
        <w:tc>
          <w:tcPr>
            <w:tcW w:w="633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谐波电流</w:t>
            </w:r>
          </w:p>
        </w:tc>
        <w:tc>
          <w:tcPr>
            <w:tcW w:w="633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照明系统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照明照度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照明功率密度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显色指数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9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统一眩光值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防排烟系统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漏风量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9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空调系统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系统总风量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风口风量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单位风量耗功率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漏风量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室内温度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冷冻水总流量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冷却水总流量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空调机组水流量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96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绿建专项检测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声环境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环境噪声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Cs w:val="18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室内噪声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Cs w:val="18"/>
              </w:rPr>
              <w:t>60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楼板撞击声隔声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ascii="宋体" w:hAnsi="宋体" w:eastAsia="宋体"/>
                <w:kern w:val="0"/>
                <w:szCs w:val="18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楼板空气声隔声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ascii="宋体" w:hAnsi="宋体" w:eastAsia="宋体"/>
                <w:kern w:val="0"/>
                <w:szCs w:val="18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分户墙空气声隔声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Cs w:val="18"/>
              </w:rPr>
              <w:t>4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外窗空气声隔声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Cs w:val="18"/>
              </w:rPr>
              <w:t>4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外墙空气声隔声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Cs w:val="18"/>
              </w:rPr>
              <w:t>4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96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光环境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采光系数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1110" w:type="pct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建筑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能效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测评</w:t>
            </w: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栋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A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座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31308.97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10" w:type="pct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栋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B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座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28634.96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10" w:type="pct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栋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C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座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14009.65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9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10" w:type="pct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公共配套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9968.87</w:t>
            </w:r>
          </w:p>
        </w:tc>
        <w:tc>
          <w:tcPr>
            <w:tcW w:w="556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</w:tbl>
    <w:p>
      <w:pPr>
        <w:rPr>
          <w:rFonts w:ascii="宋体" w:hAnsi="宋体" w:eastAsia="宋体"/>
          <w:b/>
          <w:szCs w:val="21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eastAsia="宋体"/>
          <w:b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表2光明科学城启动区土建工程二期节能（绿建）检测、能效测评工程量清单</w:t>
      </w:r>
    </w:p>
    <w:tbl>
      <w:tblPr>
        <w:tblStyle w:val="3"/>
        <w:tblW w:w="44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68"/>
        <w:gridCol w:w="1066"/>
        <w:gridCol w:w="1810"/>
        <w:gridCol w:w="1070"/>
        <w:gridCol w:w="796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378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38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类别</w:t>
            </w:r>
          </w:p>
        </w:tc>
        <w:tc>
          <w:tcPr>
            <w:tcW w:w="713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对象</w:t>
            </w:r>
          </w:p>
        </w:tc>
        <w:tc>
          <w:tcPr>
            <w:tcW w:w="120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检测内容</w:t>
            </w:r>
          </w:p>
        </w:tc>
        <w:tc>
          <w:tcPr>
            <w:tcW w:w="715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检测数量</w:t>
            </w:r>
          </w:p>
        </w:tc>
        <w:tc>
          <w:tcPr>
            <w:tcW w:w="53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单位</w:t>
            </w:r>
          </w:p>
        </w:tc>
        <w:tc>
          <w:tcPr>
            <w:tcW w:w="53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theme="minorBidi"/>
                <w:b/>
                <w:bCs/>
                <w:color w:val="00000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单价（元）</w:t>
            </w:r>
          </w:p>
        </w:tc>
        <w:tc>
          <w:tcPr>
            <w:tcW w:w="534" w:type="pct"/>
            <w:tcBorders>
              <w:bottom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theme="minorBidi"/>
                <w:b/>
                <w:bCs/>
                <w:color w:val="00000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18"/>
              </w:rPr>
              <w:t>小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  <w:t>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384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节能专项检测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低压配电系统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电压偏差</w:t>
            </w:r>
          </w:p>
        </w:tc>
        <w:tc>
          <w:tcPr>
            <w:tcW w:w="715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三相电压不平衡</w:t>
            </w:r>
          </w:p>
        </w:tc>
        <w:tc>
          <w:tcPr>
            <w:tcW w:w="715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谐波电压</w:t>
            </w:r>
          </w:p>
        </w:tc>
        <w:tc>
          <w:tcPr>
            <w:tcW w:w="715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谐波电流</w:t>
            </w:r>
          </w:p>
        </w:tc>
        <w:tc>
          <w:tcPr>
            <w:tcW w:w="715" w:type="pct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台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照明系统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照明照度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6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照明功率密度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6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显色指数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统一眩光值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防排烟系统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漏风量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空调系统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系统总风量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风口风量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6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单位风量耗功率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漏风量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室内温度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个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冷冻水总流量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冷却水总流量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shd w:val="clear" w:color="auto" w:fill="auto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空调机组水流量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384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绿建专项检测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声环境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环境噪声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8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室内噪声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楼板撞击声隔声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楼板空气声隔声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分户墙空气声隔声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外窗空气声隔声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384" w:type="pct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光环境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采光系数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点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3</w:t>
            </w:r>
          </w:p>
        </w:tc>
        <w:tc>
          <w:tcPr>
            <w:tcW w:w="1097" w:type="pct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建筑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能效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测评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栋A座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45611.04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7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097" w:type="pct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栋</w:t>
            </w:r>
            <w:r>
              <w:rPr>
                <w:rFonts w:ascii="宋体" w:hAnsi="宋体" w:eastAsia="宋体"/>
                <w:color w:val="000000"/>
                <w:kern w:val="0"/>
                <w:szCs w:val="18"/>
              </w:rPr>
              <w:t>B</w:t>
            </w: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座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32940.85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18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Cs w:val="18"/>
                <w:vertAlign w:val="superscript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18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 w:eastAsia="宋体"/>
          <w:b/>
          <w:sz w:val="24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/>
          <w:b/>
          <w:sz w:val="24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/>
          <w:b/>
          <w:sz w:val="24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/>
          <w:b/>
          <w:sz w:val="24"/>
          <w:szCs w:val="21"/>
        </w:rPr>
      </w:pPr>
    </w:p>
    <w:p>
      <w:pPr>
        <w:widowControl/>
        <w:spacing w:line="360" w:lineRule="auto"/>
        <w:jc w:val="center"/>
        <w:rPr>
          <w:rFonts w:ascii="宋体" w:hAnsi="宋体" w:eastAsia="宋体"/>
          <w:b/>
          <w:sz w:val="24"/>
          <w:szCs w:val="21"/>
        </w:rPr>
      </w:pPr>
    </w:p>
    <w:p>
      <w:pPr>
        <w:pStyle w:val="5"/>
        <w:widowControl/>
        <w:spacing w:line="360" w:lineRule="auto"/>
        <w:ind w:left="420" w:firstLine="0" w:firstLineChars="0"/>
        <w:rPr>
          <w:rFonts w:ascii="宋体" w:hAnsi="宋体" w:eastAsia="宋体"/>
          <w:b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表3光明科学城启动区土建工程项目绿色建筑符合性评估工程量清单</w:t>
      </w:r>
    </w:p>
    <w:p>
      <w:pPr>
        <w:widowControl/>
        <w:spacing w:line="360" w:lineRule="auto"/>
        <w:rPr>
          <w:rFonts w:ascii="宋体" w:hAnsi="宋体" w:eastAsia="宋体"/>
          <w:b/>
          <w:szCs w:val="21"/>
        </w:rPr>
      </w:pPr>
    </w:p>
    <w:tbl>
      <w:tblPr>
        <w:tblStyle w:val="3"/>
        <w:tblW w:w="73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86"/>
        <w:gridCol w:w="1276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left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子项目名称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left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评估</w:t>
            </w:r>
            <w:r>
              <w:rPr>
                <w:rFonts w:ascii="宋体" w:hAnsi="宋体"/>
                <w:bCs/>
                <w:sz w:val="21"/>
                <w:szCs w:val="21"/>
              </w:rPr>
              <w:t>依据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left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建筑</w:t>
            </w:r>
            <w:r>
              <w:rPr>
                <w:rFonts w:ascii="宋体" w:hAnsi="宋体"/>
                <w:bCs/>
                <w:sz w:val="21"/>
                <w:szCs w:val="21"/>
              </w:rPr>
              <w:t>面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积（m</w:t>
            </w:r>
            <w:r>
              <w:rPr>
                <w:rFonts w:hint="eastAsia" w:ascii="宋体" w:hAnsi="宋体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left="0" w:leftChars="0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单价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ind w:left="0" w:leftChars="0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评估</w:t>
            </w:r>
            <w:r>
              <w:rPr>
                <w:rFonts w:ascii="宋体" w:hAnsi="宋体"/>
                <w:bCs/>
                <w:sz w:val="21"/>
                <w:szCs w:val="21"/>
              </w:rPr>
              <w:t>费用（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元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综合研究院+地下室（三</w:t>
            </w:r>
            <w:r>
              <w:rPr>
                <w:rFonts w:ascii="宋体" w:hAnsi="宋体"/>
                <w:b w:val="0"/>
                <w:sz w:val="21"/>
                <w:szCs w:val="21"/>
              </w:rPr>
              <w:t>星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级）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《绿色建筑评价标准》GB/T50378-2019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89012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平台中心+宿舍公寓及公共配套（二星级）</w:t>
            </w:r>
          </w:p>
        </w:tc>
        <w:tc>
          <w:tcPr>
            <w:tcW w:w="1686" w:type="dxa"/>
            <w:vMerge w:val="continue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141556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line="276" w:lineRule="auto"/>
              <w:ind w:left="0"/>
              <w:rPr>
                <w:rFonts w:ascii="宋体" w:hAnsi="宋体"/>
                <w:b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宋体"/>
          <w:b/>
          <w:sz w:val="24"/>
          <w:szCs w:val="21"/>
        </w:rPr>
      </w:pPr>
    </w:p>
    <w:p>
      <w:pPr>
        <w:widowControl/>
        <w:spacing w:line="360" w:lineRule="auto"/>
        <w:rPr>
          <w:rFonts w:ascii="宋体" w:hAnsi="宋体" w:eastAsia="宋体"/>
          <w:b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Y2M1MjYwYTMxOWRiYzhiMDAyM2FkMWY4Yjk4YzAifQ=="/>
  </w:docVars>
  <w:rsids>
    <w:rsidRoot w:val="00000000"/>
    <w:rsid w:val="074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6">
    <w:name w:val="普通"/>
    <w:basedOn w:val="2"/>
    <w:qFormat/>
    <w:uiPriority w:val="0"/>
    <w:pPr>
      <w:ind w:left="482"/>
      <w:jc w:val="center"/>
    </w:pPr>
    <w:rPr>
      <w:rFonts w:eastAsia="宋体"/>
      <w:b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714</Words>
  <Characters>801</Characters>
  <Lines>0</Lines>
  <Paragraphs>0</Paragraphs>
  <TotalTime>0</TotalTime>
  <ScaleCrop>false</ScaleCrop>
  <LinksUpToDate>false</LinksUpToDate>
  <CharactersWithSpaces>802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2022-09-08T09:51:19Z</dcterms:created>
  <dc:creator>Administrator</dc:creator>
  <cp:lastModifiedBy>韩晨光</cp:lastModifiedBy>
  <dcterms:modified xsi:type="dcterms:W3CDTF">2022-09-08T09:51:27Z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C2C6BC36B9024CE48BA854E6D1CE9457</vt:lpwstr>
  </property>
</Properties>
</file>